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hint="eastAsia" w:ascii="仿宋_GB2312" w:hAnsi="宋体" w:eastAsia="仿宋_GB2312" w:cs="宋体"/>
          <w:kern w:val="0"/>
          <w:sz w:val="44"/>
          <w:szCs w:val="44"/>
        </w:rPr>
      </w:pPr>
      <w:r>
        <w:rPr>
          <w:rFonts w:hint="eastAsia" w:ascii="宋体" w:hAnsi="宋体"/>
          <w:sz w:val="44"/>
          <w:szCs w:val="44"/>
        </w:rPr>
        <w:t>2021年</w:t>
      </w:r>
      <w:r>
        <w:rPr>
          <w:rFonts w:hint="eastAsia" w:ascii="宋体" w:hAnsi="宋体"/>
          <w:color w:val="000000" w:themeColor="text1"/>
          <w:sz w:val="44"/>
          <w:szCs w:val="44"/>
          <w:lang w:eastAsia="zh-CN"/>
        </w:rPr>
        <w:t>定州市人民法院</w:t>
      </w:r>
      <w:r>
        <w:rPr>
          <w:rFonts w:hint="eastAsia" w:ascii="仿宋_GB2312" w:hAnsi="宋体" w:eastAsia="仿宋_GB2312" w:cs="宋体"/>
          <w:kern w:val="0"/>
          <w:sz w:val="44"/>
          <w:szCs w:val="44"/>
        </w:rPr>
        <w:t>部门预算公开</w:t>
      </w:r>
    </w:p>
    <w:p>
      <w:pPr>
        <w:widowControl/>
        <w:spacing w:line="580" w:lineRule="atLeast"/>
        <w:jc w:val="center"/>
        <w:rPr>
          <w:rFonts w:ascii="仿宋_GB2312" w:hAnsi="宋体" w:eastAsia="仿宋_GB2312" w:cs="宋体"/>
          <w:kern w:val="0"/>
          <w:sz w:val="44"/>
          <w:szCs w:val="44"/>
        </w:rPr>
      </w:pPr>
      <w:r>
        <w:rPr>
          <w:rFonts w:hint="eastAsia" w:ascii="仿宋_GB2312" w:hAnsi="宋体" w:eastAsia="仿宋_GB2312" w:cs="宋体"/>
          <w:kern w:val="0"/>
          <w:sz w:val="44"/>
          <w:szCs w:val="44"/>
        </w:rPr>
        <w:t>有关事项的说明</w:t>
      </w:r>
    </w:p>
    <w:p>
      <w:pPr>
        <w:widowControl/>
        <w:spacing w:line="580" w:lineRule="atLeast"/>
        <w:jc w:val="center"/>
        <w:rPr>
          <w:rFonts w:ascii="仿宋_GB2312" w:hAnsi="宋体" w:eastAsia="仿宋_GB2312" w:cs="宋体"/>
          <w:kern w:val="0"/>
          <w:sz w:val="44"/>
          <w:szCs w:val="44"/>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一、部门职责、机构设置等基本情况</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Times New Roman" w:eastAsia="仿宋_GB2312"/>
          <w:kern w:val="0"/>
          <w:sz w:val="32"/>
          <w:szCs w:val="32"/>
        </w:rPr>
        <w:t>1</w:t>
      </w:r>
      <w:r>
        <w:rPr>
          <w:rFonts w:hint="eastAsia" w:ascii="仿宋_GB2312" w:hAnsi="宋体" w:eastAsia="仿宋_GB2312" w:cs="宋体"/>
          <w:kern w:val="0"/>
          <w:sz w:val="32"/>
          <w:szCs w:val="32"/>
        </w:rPr>
        <w:t>、部门职责</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定州市人民法院</w:t>
      </w:r>
      <w:r>
        <w:rPr>
          <w:rFonts w:hint="eastAsia" w:ascii="仿宋_GB2312" w:hAnsi="宋体" w:eastAsia="仿宋_GB2312" w:cs="宋体"/>
          <w:kern w:val="0"/>
          <w:sz w:val="32"/>
          <w:szCs w:val="32"/>
          <w:lang w:eastAsia="zh-CN"/>
        </w:rPr>
        <w:t>的</w:t>
      </w:r>
      <w:r>
        <w:rPr>
          <w:rFonts w:hint="eastAsia" w:ascii="仿宋_GB2312" w:hAnsi="宋体" w:eastAsia="仿宋_GB2312" w:cs="宋体"/>
          <w:kern w:val="0"/>
          <w:sz w:val="32"/>
          <w:szCs w:val="32"/>
        </w:rPr>
        <w:t>主要职责是：</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（一）</w:t>
      </w:r>
      <w:r>
        <w:rPr>
          <w:rFonts w:hint="eastAsia" w:ascii="仿宋_GB2312" w:hAnsi="宋体" w:eastAsia="仿宋_GB2312" w:cs="宋体"/>
          <w:kern w:val="0"/>
          <w:sz w:val="32"/>
          <w:szCs w:val="32"/>
          <w:lang w:eastAsia="zh-CN"/>
        </w:rPr>
        <w:t>深入贯彻习近平新时代中国特色社会主义思想，深入贯彻党的路线方针政策和决策部署，坚持党对法院工作的绝对领导，坚决维护习近平总书记的核心地位，坚决维护党中央权威和集中统一领导。</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（二） 依法</w:t>
      </w:r>
      <w:r>
        <w:rPr>
          <w:rFonts w:hint="eastAsia" w:ascii="仿宋_GB2312" w:hAnsi="宋体" w:eastAsia="仿宋_GB2312" w:cs="宋体"/>
          <w:kern w:val="0"/>
          <w:sz w:val="32"/>
          <w:szCs w:val="32"/>
          <w:lang w:eastAsia="zh-CN"/>
        </w:rPr>
        <w:t>审判法律规定由定州市人民法院管辖的刑事、民事、行政等第一审案件。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 依法审</w:t>
      </w:r>
      <w:r>
        <w:rPr>
          <w:rFonts w:hint="eastAsia" w:ascii="仿宋_GB2312" w:hAnsi="宋体" w:eastAsia="仿宋_GB2312" w:cs="宋体"/>
          <w:kern w:val="0"/>
          <w:sz w:val="32"/>
          <w:szCs w:val="32"/>
          <w:lang w:eastAsia="zh-CN"/>
        </w:rPr>
        <w:t>判</w:t>
      </w:r>
      <w:r>
        <w:rPr>
          <w:rFonts w:hint="eastAsia" w:ascii="仿宋_GB2312" w:hAnsi="宋体" w:eastAsia="仿宋_GB2312" w:cs="宋体"/>
          <w:kern w:val="0"/>
          <w:sz w:val="32"/>
          <w:szCs w:val="32"/>
        </w:rPr>
        <w:t>上级法院指定、</w:t>
      </w:r>
      <w:r>
        <w:rPr>
          <w:rFonts w:hint="eastAsia" w:ascii="仿宋_GB2312" w:hAnsi="宋体" w:eastAsia="仿宋_GB2312" w:cs="宋体"/>
          <w:kern w:val="0"/>
          <w:sz w:val="32"/>
          <w:szCs w:val="32"/>
          <w:lang w:eastAsia="zh-CN"/>
        </w:rPr>
        <w:t>同级人民法院移送的刑事、民事、行政等第一审</w:t>
      </w:r>
      <w:r>
        <w:rPr>
          <w:rFonts w:hint="eastAsia" w:ascii="仿宋_GB2312" w:hAnsi="宋体" w:eastAsia="仿宋_GB2312" w:cs="宋体"/>
          <w:kern w:val="0"/>
          <w:sz w:val="32"/>
          <w:szCs w:val="32"/>
        </w:rPr>
        <w:t>案件。</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 xml:space="preserve">（四） </w:t>
      </w:r>
      <w:r>
        <w:rPr>
          <w:rFonts w:hint="eastAsia" w:ascii="仿宋_GB2312" w:hAnsi="宋体" w:eastAsia="仿宋_GB2312" w:cs="宋体"/>
          <w:kern w:val="0"/>
          <w:sz w:val="32"/>
          <w:szCs w:val="32"/>
          <w:lang w:eastAsia="zh-CN"/>
        </w:rPr>
        <w:t>审查和受理各类申诉案件，审判各类再审案件，处理来信来访。</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（五） 依法</w:t>
      </w:r>
      <w:r>
        <w:rPr>
          <w:rFonts w:hint="eastAsia" w:ascii="仿宋_GB2312" w:hAnsi="宋体" w:eastAsia="仿宋_GB2312" w:cs="宋体"/>
          <w:kern w:val="0"/>
          <w:sz w:val="32"/>
          <w:szCs w:val="32"/>
          <w:lang w:eastAsia="zh-CN"/>
        </w:rPr>
        <w:t>办理发生法律效力的民事、行政案件判决和裁定执行事项及刑事案件判决和裁定中关于财产部分的执行事项；办理法律规定由基层人民法院执行的其他法律文书的执行事项。</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（六）</w:t>
      </w:r>
      <w:r>
        <w:rPr>
          <w:rFonts w:hint="eastAsia" w:ascii="仿宋_GB2312" w:hAnsi="宋体" w:eastAsia="仿宋_GB2312" w:cs="宋体"/>
          <w:kern w:val="0"/>
          <w:sz w:val="32"/>
          <w:szCs w:val="32"/>
          <w:lang w:eastAsia="zh-CN"/>
        </w:rPr>
        <w:t>负责审判工作的调查研究，总结审判工作经验</w:t>
      </w:r>
      <w:r>
        <w:rPr>
          <w:rFonts w:hint="eastAsia" w:ascii="仿宋_GB2312" w:hAnsi="宋体" w:eastAsia="仿宋_GB2312" w:cs="宋体"/>
          <w:kern w:val="0"/>
          <w:sz w:val="32"/>
          <w:szCs w:val="32"/>
        </w:rPr>
        <w:t>。</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（七）</w:t>
      </w:r>
      <w:r>
        <w:rPr>
          <w:rFonts w:hint="eastAsia" w:ascii="仿宋_GB2312" w:hAnsi="宋体" w:eastAsia="仿宋_GB2312" w:cs="宋体"/>
          <w:kern w:val="0"/>
          <w:sz w:val="32"/>
          <w:szCs w:val="32"/>
          <w:lang w:eastAsia="zh-CN"/>
        </w:rPr>
        <w:t>负责干警思想政治教育和业务培训工作；按照权限管理法官和其他工作人员。</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（八）</w:t>
      </w:r>
      <w:r>
        <w:rPr>
          <w:rFonts w:hint="eastAsia" w:ascii="仿宋_GB2312" w:hAnsi="宋体" w:eastAsia="仿宋_GB2312" w:cs="宋体"/>
          <w:kern w:val="0"/>
          <w:sz w:val="32"/>
          <w:szCs w:val="32"/>
          <w:lang w:eastAsia="zh-CN"/>
        </w:rPr>
        <w:t>管理有关经费及物资装备。</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九</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负责司法技术鉴定、通讯、计算机等技术管理工作。</w:t>
      </w:r>
    </w:p>
    <w:p>
      <w:pPr>
        <w:widowControl/>
        <w:shd w:val="clear" w:color="auto" w:fill="FFFFFF"/>
        <w:spacing w:line="580" w:lineRule="exact"/>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十</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负责审判工作中的法制宣传，教育公民忠于祖国，自觉遵守宪法、法律和社会公德。</w:t>
      </w:r>
    </w:p>
    <w:p>
      <w:pPr>
        <w:widowControl/>
        <w:shd w:val="clear" w:color="auto" w:fill="FFFFFF"/>
        <w:spacing w:line="580" w:lineRule="exact"/>
        <w:ind w:firstLine="640" w:firstLineChars="200"/>
        <w:jc w:val="left"/>
        <w:rPr>
          <w:rFonts w:ascii="仿宋_GB2312" w:hAnsi="宋体" w:eastAsia="仿宋_GB2312" w:cs="宋体"/>
          <w:kern w:val="0"/>
          <w:sz w:val="24"/>
          <w:szCs w:val="24"/>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十一</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完成</w:t>
      </w:r>
      <w:r>
        <w:rPr>
          <w:rFonts w:hint="eastAsia" w:ascii="仿宋_GB2312" w:hAnsi="宋体" w:eastAsia="仿宋_GB2312" w:cs="宋体"/>
          <w:kern w:val="0"/>
          <w:sz w:val="32"/>
          <w:szCs w:val="32"/>
        </w:rPr>
        <w:t>其他应由</w:t>
      </w:r>
      <w:r>
        <w:rPr>
          <w:rFonts w:hint="eastAsia" w:ascii="仿宋_GB2312" w:hAnsi="宋体" w:eastAsia="仿宋_GB2312" w:cs="宋体"/>
          <w:kern w:val="0"/>
          <w:sz w:val="32"/>
          <w:szCs w:val="32"/>
          <w:lang w:eastAsia="zh-CN"/>
        </w:rPr>
        <w:t>定州市人民法院</w:t>
      </w:r>
      <w:r>
        <w:rPr>
          <w:rFonts w:hint="eastAsia" w:ascii="仿宋_GB2312" w:hAnsi="宋体" w:eastAsia="仿宋_GB2312" w:cs="宋体"/>
          <w:kern w:val="0"/>
          <w:sz w:val="32"/>
          <w:szCs w:val="32"/>
        </w:rPr>
        <w:t>负责的工作。</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Times New Roman" w:eastAsia="仿宋_GB2312"/>
          <w:kern w:val="0"/>
          <w:sz w:val="32"/>
          <w:szCs w:val="32"/>
        </w:rPr>
        <w:t>2</w:t>
      </w:r>
      <w:r>
        <w:rPr>
          <w:rFonts w:hint="eastAsia" w:ascii="仿宋_GB2312" w:hAnsi="宋体" w:eastAsia="仿宋_GB2312" w:cs="宋体"/>
          <w:kern w:val="0"/>
          <w:sz w:val="32"/>
          <w:szCs w:val="32"/>
        </w:rPr>
        <w:t>、机构设置</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定州市人民法院是全额拨款的国家行政机关。</w:t>
      </w:r>
    </w:p>
    <w:p>
      <w:pPr>
        <w:widowControl/>
        <w:shd w:val="clear" w:color="auto" w:fill="FFFFFF"/>
        <w:spacing w:line="580" w:lineRule="exact"/>
        <w:ind w:firstLine="640" w:firstLineChars="200"/>
        <w:jc w:val="left"/>
        <w:rPr>
          <w:rFonts w:hint="eastAsia" w:ascii="仿宋_GB2312" w:hAnsi="宋体" w:eastAsia="仿宋_GB2312" w:cs="宋体"/>
          <w:color w:val="FF0000"/>
          <w:kern w:val="0"/>
          <w:sz w:val="32"/>
          <w:szCs w:val="32"/>
          <w:lang w:eastAsia="zh-CN"/>
        </w:rPr>
      </w:pPr>
      <w:r>
        <w:rPr>
          <w:rFonts w:hint="eastAsia" w:ascii="仿宋_GB2312" w:hAnsi="宋体" w:eastAsia="仿宋_GB2312" w:cs="宋体"/>
          <w:kern w:val="0"/>
          <w:sz w:val="32"/>
          <w:szCs w:val="32"/>
          <w:lang w:eastAsia="zh-CN"/>
        </w:rPr>
        <w:t>定州市人民法院设下列内设机构</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立案庭（诉讼服务中心）、刑事审判庭、民事审判一庭、民事审判二庭、行政审判庭（综合审判庭）、执行局、政治部（机关党委）、综合办公室、审判管理办公室（研究室）、司法警察大队。</w:t>
      </w:r>
    </w:p>
    <w:p>
      <w:pPr>
        <w:snapToGrid w:val="0"/>
        <w:spacing w:line="560" w:lineRule="exact"/>
        <w:ind w:left="210" w:leftChars="100" w:firstLine="675"/>
        <w:jc w:val="center"/>
        <w:rPr>
          <w:rFonts w:ascii="仿宋" w:hAnsi="仿宋" w:eastAsia="仿宋"/>
          <w:sz w:val="32"/>
          <w:szCs w:val="32"/>
        </w:rPr>
      </w:pPr>
      <w:r>
        <w:rPr>
          <w:rFonts w:hint="eastAsia" w:ascii="仿宋" w:hAnsi="仿宋" w:eastAsia="仿宋"/>
          <w:sz w:val="32"/>
          <w:szCs w:val="32"/>
        </w:rPr>
        <w:t>部门机构设置情况</w:t>
      </w:r>
    </w:p>
    <w:tbl>
      <w:tblPr>
        <w:tblStyle w:val="4"/>
        <w:tblpPr w:leftFromText="180" w:rightFromText="180" w:vertAnchor="text" w:horzAnchor="page" w:tblpX="1583" w:tblpY="150"/>
        <w:tblOverlap w:val="never"/>
        <w:tblW w:w="134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76"/>
        <w:gridCol w:w="3241"/>
        <w:gridCol w:w="3187"/>
        <w:gridCol w:w="43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2676" w:type="dxa"/>
            <w:noWrap w:val="0"/>
            <w:vAlign w:val="top"/>
          </w:tcPr>
          <w:p>
            <w:pPr>
              <w:snapToGrid w:val="0"/>
              <w:spacing w:line="560" w:lineRule="exact"/>
              <w:jc w:val="center"/>
              <w:rPr>
                <w:rFonts w:ascii="仿宋" w:hAnsi="仿宋" w:eastAsia="仿宋"/>
                <w:sz w:val="32"/>
                <w:szCs w:val="32"/>
              </w:rPr>
            </w:pPr>
            <w:r>
              <w:rPr>
                <w:rFonts w:hint="eastAsia" w:ascii="仿宋" w:hAnsi="仿宋" w:eastAsia="仿宋"/>
                <w:sz w:val="32"/>
                <w:szCs w:val="32"/>
              </w:rPr>
              <w:t>单位名称</w:t>
            </w:r>
          </w:p>
        </w:tc>
        <w:tc>
          <w:tcPr>
            <w:tcW w:w="3241" w:type="dxa"/>
            <w:noWrap w:val="0"/>
            <w:vAlign w:val="top"/>
          </w:tcPr>
          <w:p>
            <w:pPr>
              <w:snapToGrid w:val="0"/>
              <w:spacing w:line="560" w:lineRule="exact"/>
              <w:jc w:val="center"/>
              <w:rPr>
                <w:rFonts w:ascii="仿宋" w:hAnsi="仿宋" w:eastAsia="仿宋"/>
                <w:sz w:val="32"/>
                <w:szCs w:val="32"/>
              </w:rPr>
            </w:pPr>
            <w:r>
              <w:rPr>
                <w:rFonts w:hint="eastAsia" w:ascii="仿宋" w:hAnsi="仿宋" w:eastAsia="仿宋"/>
                <w:sz w:val="32"/>
                <w:szCs w:val="32"/>
              </w:rPr>
              <w:t>单位性质</w:t>
            </w:r>
          </w:p>
        </w:tc>
        <w:tc>
          <w:tcPr>
            <w:tcW w:w="3187" w:type="dxa"/>
            <w:noWrap w:val="0"/>
            <w:vAlign w:val="top"/>
          </w:tcPr>
          <w:p>
            <w:pPr>
              <w:snapToGrid w:val="0"/>
              <w:spacing w:line="560" w:lineRule="exact"/>
              <w:jc w:val="center"/>
              <w:rPr>
                <w:rFonts w:ascii="仿宋" w:hAnsi="仿宋" w:eastAsia="仿宋"/>
                <w:sz w:val="32"/>
                <w:szCs w:val="32"/>
              </w:rPr>
            </w:pPr>
            <w:r>
              <w:rPr>
                <w:rFonts w:hint="eastAsia" w:ascii="仿宋" w:hAnsi="仿宋" w:eastAsia="仿宋"/>
                <w:sz w:val="32"/>
                <w:szCs w:val="32"/>
              </w:rPr>
              <w:t>单位规格</w:t>
            </w:r>
          </w:p>
        </w:tc>
        <w:tc>
          <w:tcPr>
            <w:tcW w:w="4321" w:type="dxa"/>
            <w:noWrap w:val="0"/>
            <w:vAlign w:val="top"/>
          </w:tcPr>
          <w:p>
            <w:pPr>
              <w:snapToGrid w:val="0"/>
              <w:spacing w:line="560" w:lineRule="exact"/>
              <w:jc w:val="center"/>
              <w:rPr>
                <w:rFonts w:ascii="仿宋" w:hAnsi="仿宋" w:eastAsia="仿宋"/>
                <w:sz w:val="32"/>
                <w:szCs w:val="32"/>
              </w:rPr>
            </w:pPr>
            <w:r>
              <w:rPr>
                <w:rFonts w:hint="eastAsia" w:ascii="仿宋" w:hAnsi="仿宋" w:eastAsia="仿宋"/>
                <w:sz w:val="32"/>
                <w:szCs w:val="32"/>
              </w:rPr>
              <w:t>经费保障形式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2676" w:type="dxa"/>
            <w:noWrap w:val="0"/>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定州市人民法院</w:t>
            </w:r>
          </w:p>
        </w:tc>
        <w:tc>
          <w:tcPr>
            <w:tcW w:w="3241" w:type="dxa"/>
            <w:noWrap w:val="0"/>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行政机关</w:t>
            </w:r>
          </w:p>
        </w:tc>
        <w:tc>
          <w:tcPr>
            <w:tcW w:w="3187" w:type="dxa"/>
            <w:noWrap w:val="0"/>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副处级</w:t>
            </w:r>
          </w:p>
        </w:tc>
        <w:tc>
          <w:tcPr>
            <w:tcW w:w="4321" w:type="dxa"/>
            <w:noWrap w:val="0"/>
            <w:vAlign w:val="center"/>
          </w:tcPr>
          <w:p>
            <w:pPr>
              <w:snapToGrid w:val="0"/>
              <w:spacing w:line="560" w:lineRule="exact"/>
              <w:jc w:val="center"/>
              <w:rPr>
                <w:rFonts w:ascii="仿宋" w:hAnsi="仿宋" w:eastAsia="仿宋"/>
                <w:sz w:val="32"/>
                <w:szCs w:val="32"/>
              </w:rPr>
            </w:pPr>
            <w:r>
              <w:rPr>
                <w:rFonts w:hint="eastAsia" w:ascii="仿宋" w:hAnsi="仿宋" w:eastAsia="仿宋"/>
                <w:sz w:val="32"/>
                <w:szCs w:val="32"/>
              </w:rPr>
              <w:t xml:space="preserve">财政拨款 </w:t>
            </w:r>
          </w:p>
        </w:tc>
      </w:tr>
    </w:tbl>
    <w:p>
      <w:pPr>
        <w:widowControl/>
        <w:shd w:val="clear" w:color="auto" w:fill="FFFFFF"/>
        <w:spacing w:line="580" w:lineRule="exact"/>
        <w:jc w:val="left"/>
        <w:rPr>
          <w:rFonts w:hint="eastAsia" w:ascii="黑体" w:hAnsi="黑体" w:eastAsia="黑体" w:cs="宋体"/>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二、部门预算安排总体情况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1、我部门本年收入</w:t>
      </w:r>
      <w:r>
        <w:rPr>
          <w:rFonts w:hint="eastAsia" w:ascii="仿宋_GB2312" w:hAnsi="Times New Roman" w:eastAsia="仿宋_GB2312"/>
          <w:kern w:val="0"/>
          <w:sz w:val="32"/>
          <w:szCs w:val="32"/>
          <w:lang w:val="en-US" w:eastAsia="zh-CN"/>
        </w:rPr>
        <w:t>3499.72</w:t>
      </w:r>
      <w:r>
        <w:rPr>
          <w:rFonts w:hint="eastAsia" w:ascii="仿宋_GB2312" w:hAnsi="Times New Roman" w:eastAsia="仿宋_GB2312"/>
          <w:kern w:val="0"/>
          <w:sz w:val="32"/>
          <w:szCs w:val="32"/>
        </w:rPr>
        <w:t>万元，其中：</w:t>
      </w:r>
      <w:r>
        <w:rPr>
          <w:rFonts w:hint="eastAsia" w:ascii="仿宋_GB2312" w:hAnsi="Times New Roman" w:eastAsia="仿宋_GB2312"/>
          <w:kern w:val="0"/>
          <w:sz w:val="32"/>
          <w:szCs w:val="32"/>
          <w:lang w:eastAsia="zh-CN"/>
        </w:rPr>
        <w:t>财政</w:t>
      </w:r>
      <w:r>
        <w:rPr>
          <w:rFonts w:hint="eastAsia" w:ascii="仿宋_GB2312" w:hAnsi="Times New Roman" w:eastAsia="仿宋_GB2312"/>
          <w:kern w:val="0"/>
          <w:sz w:val="32"/>
          <w:szCs w:val="32"/>
        </w:rPr>
        <w:t>拨款收入</w:t>
      </w:r>
      <w:r>
        <w:rPr>
          <w:rFonts w:hint="eastAsia" w:ascii="仿宋_GB2312" w:hAnsi="Times New Roman" w:eastAsia="仿宋_GB2312"/>
          <w:kern w:val="0"/>
          <w:sz w:val="32"/>
          <w:szCs w:val="32"/>
          <w:lang w:val="en-US" w:eastAsia="zh-CN"/>
        </w:rPr>
        <w:t>3499.72</w:t>
      </w:r>
      <w:r>
        <w:rPr>
          <w:rFonts w:hint="eastAsia" w:ascii="仿宋_GB2312" w:hAnsi="Times New Roman" w:eastAsia="仿宋_GB2312"/>
          <w:kern w:val="0"/>
          <w:sz w:val="32"/>
          <w:szCs w:val="32"/>
        </w:rPr>
        <w:t>万元(其中</w:t>
      </w:r>
      <w:r>
        <w:rPr>
          <w:rFonts w:hint="eastAsia" w:ascii="仿宋_GB2312" w:hAnsi="Times New Roman" w:eastAsia="仿宋_GB2312"/>
          <w:kern w:val="0"/>
          <w:sz w:val="32"/>
          <w:szCs w:val="32"/>
          <w:lang w:eastAsia="zh-CN"/>
        </w:rPr>
        <w:t>一般公共预算</w:t>
      </w:r>
      <w:r>
        <w:rPr>
          <w:rFonts w:hint="eastAsia" w:ascii="仿宋_GB2312" w:hAnsi="Times New Roman" w:eastAsia="仿宋_GB2312"/>
          <w:kern w:val="0"/>
          <w:sz w:val="32"/>
          <w:szCs w:val="32"/>
          <w:lang w:val="en-US" w:eastAsia="zh-CN"/>
        </w:rPr>
        <w:t>3499.72万元、</w:t>
      </w:r>
      <w:r>
        <w:rPr>
          <w:rFonts w:hint="eastAsia" w:ascii="仿宋_GB2312" w:hAnsi="Times New Roman" w:eastAsia="仿宋_GB2312"/>
          <w:kern w:val="0"/>
          <w:sz w:val="32"/>
          <w:szCs w:val="32"/>
        </w:rPr>
        <w:t>政府性基金预算0万元、国有资本经营预算安排0万元）、上级补助收入0万元、事业收入0万元、经营收入0万元、附属单位上缴收入0万元、其他收入0万元。</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2、安排支出</w:t>
      </w:r>
      <w:r>
        <w:rPr>
          <w:rFonts w:hint="eastAsia" w:ascii="仿宋_GB2312" w:hAnsi="Times New Roman" w:eastAsia="仿宋_GB2312"/>
          <w:kern w:val="0"/>
          <w:sz w:val="32"/>
          <w:szCs w:val="32"/>
          <w:lang w:val="en-US" w:eastAsia="zh-CN"/>
        </w:rPr>
        <w:t>3499.72</w:t>
      </w:r>
      <w:r>
        <w:rPr>
          <w:rFonts w:hint="eastAsia" w:ascii="仿宋_GB2312" w:hAnsi="Times New Roman" w:eastAsia="仿宋_GB2312"/>
          <w:kern w:val="0"/>
          <w:sz w:val="32"/>
          <w:szCs w:val="32"/>
        </w:rPr>
        <w:t>万元 ，其中：基本支出</w:t>
      </w:r>
      <w:r>
        <w:rPr>
          <w:rFonts w:hint="eastAsia" w:ascii="仿宋_GB2312" w:hAnsi="Times New Roman" w:eastAsia="仿宋_GB2312"/>
          <w:kern w:val="0"/>
          <w:sz w:val="32"/>
          <w:szCs w:val="32"/>
          <w:lang w:val="en-US" w:eastAsia="zh-CN"/>
        </w:rPr>
        <w:t>2436.10</w:t>
      </w:r>
      <w:r>
        <w:rPr>
          <w:rFonts w:hint="eastAsia" w:ascii="仿宋_GB2312" w:hAnsi="Times New Roman" w:eastAsia="仿宋_GB2312"/>
          <w:kern w:val="0"/>
          <w:sz w:val="32"/>
          <w:szCs w:val="32"/>
        </w:rPr>
        <w:t>万元，包括人员经费</w:t>
      </w:r>
      <w:r>
        <w:rPr>
          <w:rFonts w:hint="eastAsia" w:ascii="仿宋_GB2312" w:hAnsi="Times New Roman" w:eastAsia="仿宋_GB2312"/>
          <w:kern w:val="0"/>
          <w:sz w:val="32"/>
          <w:szCs w:val="32"/>
          <w:lang w:val="en-US" w:eastAsia="zh-CN"/>
        </w:rPr>
        <w:t>2205.84</w:t>
      </w:r>
      <w:r>
        <w:rPr>
          <w:rFonts w:hint="eastAsia" w:ascii="仿宋_GB2312" w:hAnsi="Times New Roman" w:eastAsia="仿宋_GB2312"/>
          <w:kern w:val="0"/>
          <w:sz w:val="32"/>
          <w:szCs w:val="32"/>
        </w:rPr>
        <w:t>万元，日常公用经费</w:t>
      </w:r>
      <w:r>
        <w:rPr>
          <w:rFonts w:hint="eastAsia" w:ascii="仿宋_GB2312" w:hAnsi="Times New Roman" w:eastAsia="仿宋_GB2312"/>
          <w:kern w:val="0"/>
          <w:sz w:val="32"/>
          <w:szCs w:val="32"/>
          <w:lang w:val="en-US" w:eastAsia="zh-CN"/>
        </w:rPr>
        <w:t>230.26</w:t>
      </w:r>
      <w:r>
        <w:rPr>
          <w:rFonts w:hint="eastAsia" w:ascii="仿宋_GB2312" w:hAnsi="Times New Roman" w:eastAsia="仿宋_GB2312"/>
          <w:kern w:val="0"/>
          <w:sz w:val="32"/>
          <w:szCs w:val="32"/>
        </w:rPr>
        <w:t>万元；项目支出</w:t>
      </w:r>
      <w:r>
        <w:rPr>
          <w:rFonts w:hint="eastAsia" w:ascii="仿宋_GB2312" w:hAnsi="Times New Roman" w:eastAsia="仿宋_GB2312"/>
          <w:kern w:val="0"/>
          <w:sz w:val="32"/>
          <w:szCs w:val="32"/>
          <w:lang w:val="en-US" w:eastAsia="zh-CN"/>
        </w:rPr>
        <w:t>1063.62</w:t>
      </w:r>
      <w:r>
        <w:rPr>
          <w:rFonts w:hint="eastAsia" w:ascii="仿宋_GB2312" w:hAnsi="Times New Roman" w:eastAsia="仿宋_GB2312"/>
          <w:kern w:val="0"/>
          <w:sz w:val="32"/>
          <w:szCs w:val="32"/>
        </w:rPr>
        <w:t>万元</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上缴上级支出0万元、经营支出0万元、对附属单位补助支出0万元。</w:t>
      </w:r>
    </w:p>
    <w:p>
      <w:pPr>
        <w:pStyle w:val="9"/>
        <w:rPr>
          <w:rFonts w:hint="eastAsia" w:ascii="仿宋_GB2312" w:hAnsi="Times New Roman" w:eastAsia="仿宋_GB2312"/>
          <w:kern w:val="0"/>
          <w:sz w:val="32"/>
          <w:szCs w:val="32"/>
          <w:highlight w:val="none"/>
          <w:lang w:val="en-US" w:eastAsia="zh-CN"/>
        </w:rPr>
      </w:pPr>
      <w:r>
        <w:rPr>
          <w:rFonts w:hint="eastAsia" w:ascii="仿宋_GB2312" w:hAnsi="Times New Roman" w:eastAsia="仿宋_GB2312"/>
          <w:kern w:val="0"/>
          <w:sz w:val="32"/>
          <w:szCs w:val="32"/>
          <w:highlight w:val="none"/>
          <w:lang w:val="en-US" w:eastAsia="zh-CN"/>
        </w:rPr>
        <w:t>3、与上年比较增减情况：2</w:t>
      </w:r>
      <w:r>
        <w:rPr>
          <w:rFonts w:hint="eastAsia" w:ascii="仿宋_GB2312" w:hAnsi="Times New Roman" w:eastAsia="仿宋_GB2312"/>
          <w:kern w:val="0"/>
          <w:sz w:val="32"/>
          <w:szCs w:val="32"/>
          <w:highlight w:val="none"/>
          <w:lang w:val="en-US" w:eastAsia="zh-CN"/>
        </w:rPr>
        <w:t>021年预算收支安排3499.72万元，较2020年预算减少96.64万元，主要为人员经费支出减少。</w:t>
      </w:r>
    </w:p>
    <w:p>
      <w:pPr>
        <w:widowControl/>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三、机关运行经费安排情况</w:t>
      </w:r>
      <w:bookmarkStart w:id="0" w:name="_GoBack"/>
      <w:bookmarkEnd w:id="0"/>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我部门安排机关运行经费</w:t>
      </w:r>
      <w:r>
        <w:rPr>
          <w:rFonts w:hint="eastAsia" w:ascii="仿宋_GB2312" w:hAnsi="Times New Roman" w:eastAsia="仿宋_GB2312"/>
          <w:kern w:val="0"/>
          <w:sz w:val="32"/>
          <w:szCs w:val="32"/>
          <w:lang w:val="en-US" w:eastAsia="zh-CN"/>
        </w:rPr>
        <w:t>230.26</w:t>
      </w:r>
      <w:r>
        <w:rPr>
          <w:rFonts w:hint="eastAsia" w:ascii="仿宋_GB2312" w:hAnsi="Times New Roman" w:eastAsia="仿宋_GB2312"/>
          <w:kern w:val="0"/>
          <w:sz w:val="32"/>
          <w:szCs w:val="32"/>
        </w:rPr>
        <w:t>万元，其中：办公费</w:t>
      </w:r>
      <w:r>
        <w:rPr>
          <w:rFonts w:hint="eastAsia" w:ascii="仿宋_GB2312" w:hAnsi="Times New Roman" w:eastAsia="仿宋_GB2312"/>
          <w:kern w:val="0"/>
          <w:sz w:val="32"/>
          <w:szCs w:val="32"/>
          <w:lang w:val="en-US" w:eastAsia="zh-CN"/>
        </w:rPr>
        <w:t>55.40</w:t>
      </w:r>
      <w:r>
        <w:rPr>
          <w:rFonts w:hint="eastAsia" w:ascii="仿宋_GB2312" w:hAnsi="Times New Roman" w:eastAsia="仿宋_GB2312"/>
          <w:kern w:val="0"/>
          <w:sz w:val="32"/>
          <w:szCs w:val="32"/>
        </w:rPr>
        <w:t>万元、印刷费0万元、邮电费</w:t>
      </w:r>
      <w:r>
        <w:rPr>
          <w:rFonts w:hint="eastAsia" w:ascii="仿宋_GB2312" w:hAnsi="Times New Roman" w:eastAsia="仿宋_GB2312"/>
          <w:kern w:val="0"/>
          <w:sz w:val="32"/>
          <w:szCs w:val="32"/>
          <w:lang w:val="en-US" w:eastAsia="zh-CN"/>
        </w:rPr>
        <w:t>0</w:t>
      </w:r>
      <w:r>
        <w:rPr>
          <w:rFonts w:hint="eastAsia" w:ascii="仿宋_GB2312" w:hAnsi="Times New Roman" w:eastAsia="仿宋_GB2312"/>
          <w:kern w:val="0"/>
          <w:sz w:val="32"/>
          <w:szCs w:val="32"/>
        </w:rPr>
        <w:t>万元、差旅费</w:t>
      </w:r>
      <w:r>
        <w:rPr>
          <w:rFonts w:hint="eastAsia" w:ascii="仿宋_GB2312" w:hAnsi="Times New Roman" w:eastAsia="仿宋_GB2312"/>
          <w:kern w:val="0"/>
          <w:sz w:val="32"/>
          <w:szCs w:val="32"/>
          <w:lang w:val="en-US" w:eastAsia="zh-CN"/>
        </w:rPr>
        <w:t>0</w:t>
      </w:r>
      <w:r>
        <w:rPr>
          <w:rFonts w:hint="eastAsia" w:ascii="仿宋_GB2312" w:hAnsi="Times New Roman" w:eastAsia="仿宋_GB2312"/>
          <w:kern w:val="0"/>
          <w:sz w:val="32"/>
          <w:szCs w:val="32"/>
        </w:rPr>
        <w:t>万元、会议费</w:t>
      </w:r>
      <w:r>
        <w:rPr>
          <w:rFonts w:hint="eastAsia" w:ascii="仿宋_GB2312" w:hAnsi="Times New Roman" w:eastAsia="仿宋_GB2312"/>
          <w:kern w:val="0"/>
          <w:sz w:val="32"/>
          <w:szCs w:val="32"/>
          <w:lang w:val="en-US" w:eastAsia="zh-CN"/>
        </w:rPr>
        <w:t>0</w:t>
      </w:r>
      <w:r>
        <w:rPr>
          <w:rFonts w:hint="eastAsia" w:ascii="仿宋_GB2312" w:hAnsi="Times New Roman" w:eastAsia="仿宋_GB2312"/>
          <w:kern w:val="0"/>
          <w:sz w:val="32"/>
          <w:szCs w:val="32"/>
        </w:rPr>
        <w:t>万元、福利费</w:t>
      </w:r>
      <w:r>
        <w:rPr>
          <w:rFonts w:hint="eastAsia" w:ascii="仿宋_GB2312" w:hAnsi="Times New Roman" w:eastAsia="仿宋_GB2312"/>
          <w:kern w:val="0"/>
          <w:sz w:val="32"/>
          <w:szCs w:val="32"/>
          <w:lang w:val="en-US" w:eastAsia="zh-CN"/>
        </w:rPr>
        <w:t>14.06</w:t>
      </w:r>
      <w:r>
        <w:rPr>
          <w:rFonts w:hint="eastAsia" w:ascii="仿宋_GB2312" w:hAnsi="Times New Roman" w:eastAsia="仿宋_GB2312"/>
          <w:kern w:val="0"/>
          <w:sz w:val="32"/>
          <w:szCs w:val="32"/>
        </w:rPr>
        <w:t>万元、日常维修费0万元、专用材料及一般设备购置费0万元、办公用房水费</w:t>
      </w:r>
      <w:r>
        <w:rPr>
          <w:rFonts w:hint="eastAsia" w:ascii="仿宋_GB2312" w:hAnsi="Times New Roman" w:eastAsia="仿宋_GB2312"/>
          <w:kern w:val="0"/>
          <w:sz w:val="32"/>
          <w:szCs w:val="32"/>
          <w:lang w:val="en-US" w:eastAsia="zh-CN"/>
        </w:rPr>
        <w:t>4.62</w:t>
      </w:r>
      <w:r>
        <w:rPr>
          <w:rFonts w:hint="eastAsia" w:ascii="仿宋_GB2312" w:hAnsi="Times New Roman" w:eastAsia="仿宋_GB2312"/>
          <w:kern w:val="0"/>
          <w:sz w:val="32"/>
          <w:szCs w:val="32"/>
        </w:rPr>
        <w:t>万元、电费</w:t>
      </w:r>
      <w:r>
        <w:rPr>
          <w:rFonts w:hint="eastAsia" w:ascii="仿宋_GB2312" w:hAnsi="Times New Roman" w:eastAsia="仿宋_GB2312"/>
          <w:kern w:val="0"/>
          <w:sz w:val="32"/>
          <w:szCs w:val="32"/>
          <w:lang w:val="en-US" w:eastAsia="zh-CN"/>
        </w:rPr>
        <w:t>10</w:t>
      </w:r>
      <w:r>
        <w:rPr>
          <w:rFonts w:hint="eastAsia" w:ascii="仿宋_GB2312" w:hAnsi="Times New Roman" w:eastAsia="仿宋_GB2312"/>
          <w:kern w:val="0"/>
          <w:sz w:val="32"/>
          <w:szCs w:val="32"/>
        </w:rPr>
        <w:t>万元、办公用房取暖费</w:t>
      </w:r>
      <w:r>
        <w:rPr>
          <w:rFonts w:hint="eastAsia" w:ascii="仿宋_GB2312" w:hAnsi="Times New Roman" w:eastAsia="仿宋_GB2312"/>
          <w:kern w:val="0"/>
          <w:sz w:val="32"/>
          <w:szCs w:val="32"/>
          <w:lang w:val="en-US" w:eastAsia="zh-CN"/>
        </w:rPr>
        <w:t>13</w:t>
      </w:r>
      <w:r>
        <w:rPr>
          <w:rFonts w:hint="eastAsia" w:ascii="仿宋_GB2312" w:hAnsi="Times New Roman" w:eastAsia="仿宋_GB2312"/>
          <w:kern w:val="0"/>
          <w:sz w:val="32"/>
          <w:szCs w:val="32"/>
        </w:rPr>
        <w:t>万元、办公用房物业管理费0万元、</w:t>
      </w:r>
      <w:r>
        <w:rPr>
          <w:rFonts w:hint="eastAsia" w:ascii="仿宋_GB2312" w:hAnsi="Times New Roman" w:eastAsia="仿宋_GB2312"/>
          <w:kern w:val="0"/>
          <w:sz w:val="32"/>
          <w:szCs w:val="32"/>
          <w:lang w:eastAsia="zh-CN"/>
        </w:rPr>
        <w:t>执法执勤及特种业务车辆</w:t>
      </w:r>
      <w:r>
        <w:rPr>
          <w:rFonts w:hint="eastAsia" w:ascii="仿宋_GB2312" w:hAnsi="Times New Roman" w:eastAsia="仿宋_GB2312"/>
          <w:kern w:val="0"/>
          <w:sz w:val="32"/>
          <w:szCs w:val="32"/>
        </w:rPr>
        <w:t>运行费</w:t>
      </w:r>
      <w:r>
        <w:rPr>
          <w:rFonts w:hint="eastAsia" w:ascii="仿宋_GB2312" w:hAnsi="Times New Roman" w:eastAsia="仿宋_GB2312"/>
          <w:kern w:val="0"/>
          <w:sz w:val="32"/>
          <w:szCs w:val="32"/>
          <w:lang w:val="en-US" w:eastAsia="zh-CN"/>
        </w:rPr>
        <w:t>35.7</w:t>
      </w:r>
      <w:r>
        <w:rPr>
          <w:rFonts w:hint="eastAsia" w:ascii="仿宋_GB2312" w:hAnsi="Times New Roman" w:eastAsia="仿宋_GB2312"/>
          <w:kern w:val="0"/>
          <w:sz w:val="32"/>
          <w:szCs w:val="32"/>
        </w:rPr>
        <w:t>万元、培训费</w:t>
      </w:r>
      <w:r>
        <w:rPr>
          <w:rFonts w:hint="eastAsia" w:ascii="仿宋_GB2312" w:hAnsi="Times New Roman" w:eastAsia="仿宋_GB2312"/>
          <w:kern w:val="0"/>
          <w:sz w:val="32"/>
          <w:szCs w:val="32"/>
          <w:lang w:val="en-US" w:eastAsia="zh-CN"/>
        </w:rPr>
        <w:t>0</w:t>
      </w:r>
      <w:r>
        <w:rPr>
          <w:rFonts w:hint="eastAsia" w:ascii="仿宋_GB2312" w:hAnsi="Times New Roman" w:eastAsia="仿宋_GB2312"/>
          <w:kern w:val="0"/>
          <w:sz w:val="32"/>
          <w:szCs w:val="32"/>
        </w:rPr>
        <w:t>万元、公务接待费2万元、工会经费</w:t>
      </w:r>
      <w:r>
        <w:rPr>
          <w:rFonts w:hint="eastAsia" w:ascii="仿宋_GB2312" w:hAnsi="Times New Roman" w:eastAsia="仿宋_GB2312"/>
          <w:kern w:val="0"/>
          <w:sz w:val="32"/>
          <w:szCs w:val="32"/>
          <w:lang w:val="en-US" w:eastAsia="zh-CN"/>
        </w:rPr>
        <w:t>9.48</w:t>
      </w:r>
      <w:r>
        <w:rPr>
          <w:rFonts w:hint="eastAsia" w:ascii="仿宋_GB2312" w:hAnsi="Times New Roman" w:eastAsia="仿宋_GB2312"/>
          <w:kern w:val="0"/>
          <w:sz w:val="32"/>
          <w:szCs w:val="32"/>
        </w:rPr>
        <w:t>万元，公务交通补贴</w:t>
      </w:r>
      <w:r>
        <w:rPr>
          <w:rFonts w:hint="eastAsia" w:ascii="仿宋_GB2312" w:hAnsi="Times New Roman" w:eastAsia="仿宋_GB2312"/>
          <w:kern w:val="0"/>
          <w:sz w:val="32"/>
          <w:szCs w:val="32"/>
          <w:lang w:val="en-US" w:eastAsia="zh-CN"/>
        </w:rPr>
        <w:t>86</w:t>
      </w:r>
      <w:r>
        <w:rPr>
          <w:rFonts w:hint="eastAsia" w:ascii="仿宋_GB2312" w:hAnsi="Times New Roman" w:eastAsia="仿宋_GB2312"/>
          <w:kern w:val="0"/>
          <w:sz w:val="32"/>
          <w:szCs w:val="32"/>
        </w:rPr>
        <w:t>万元。</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四、财政拨款“三公”经费预算情况</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rPr>
        <w:t>20</w:t>
      </w:r>
      <w:r>
        <w:rPr>
          <w:rFonts w:hint="eastAsia" w:ascii="仿宋_GB2312" w:hAnsi="Times New Roman" w:eastAsia="仿宋_GB2312"/>
          <w:kern w:val="0"/>
          <w:sz w:val="32"/>
          <w:szCs w:val="32"/>
          <w:lang w:val="en-US" w:eastAsia="zh-CN"/>
        </w:rPr>
        <w:t>21</w:t>
      </w:r>
      <w:r>
        <w:rPr>
          <w:rFonts w:hint="eastAsia" w:ascii="仿宋_GB2312" w:hAnsi="Times New Roman" w:eastAsia="仿宋_GB2312"/>
          <w:kern w:val="0"/>
          <w:sz w:val="32"/>
          <w:szCs w:val="32"/>
        </w:rPr>
        <w:t>年，我院财政拨款“三公”经费预算安排</w:t>
      </w:r>
      <w:r>
        <w:rPr>
          <w:rFonts w:hint="eastAsia" w:ascii="仿宋_GB2312" w:hAnsi="Times New Roman" w:eastAsia="仿宋_GB2312"/>
          <w:kern w:val="0"/>
          <w:sz w:val="32"/>
          <w:szCs w:val="32"/>
          <w:lang w:val="en-US" w:eastAsia="zh-CN"/>
        </w:rPr>
        <w:t>127.70</w:t>
      </w:r>
      <w:r>
        <w:rPr>
          <w:rFonts w:hint="eastAsia" w:ascii="仿宋_GB2312" w:hAnsi="Times New Roman" w:eastAsia="仿宋_GB2312"/>
          <w:kern w:val="0"/>
          <w:sz w:val="32"/>
          <w:szCs w:val="32"/>
        </w:rPr>
        <w:t>万元（一般公共预算</w:t>
      </w:r>
      <w:r>
        <w:rPr>
          <w:rFonts w:hint="eastAsia" w:ascii="仿宋_GB2312" w:hAnsi="Times New Roman" w:eastAsia="仿宋_GB2312"/>
          <w:kern w:val="0"/>
          <w:sz w:val="32"/>
          <w:szCs w:val="32"/>
          <w:lang w:val="en-US" w:eastAsia="zh-CN"/>
        </w:rPr>
        <w:t>127.70万元</w:t>
      </w:r>
      <w:r>
        <w:rPr>
          <w:rFonts w:hint="eastAsia" w:ascii="仿宋_GB2312" w:hAnsi="Times New Roman" w:eastAsia="仿宋_GB2312"/>
          <w:kern w:val="0"/>
          <w:sz w:val="32"/>
          <w:szCs w:val="32"/>
        </w:rPr>
        <w:t>、政府性基金预算</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、国有资本经营预算</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财政专户核拨资金</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安排本部门（含所属单位）因公出国（境）费</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、公务用车购置及运行费</w:t>
      </w:r>
      <w:r>
        <w:rPr>
          <w:rFonts w:hint="eastAsia" w:ascii="仿宋_GB2312" w:hAnsi="Times New Roman" w:eastAsia="仿宋_GB2312"/>
          <w:kern w:val="0"/>
          <w:sz w:val="32"/>
          <w:szCs w:val="32"/>
          <w:lang w:val="en-US" w:eastAsia="zh-CN"/>
        </w:rPr>
        <w:t>125.70万元</w:t>
      </w:r>
      <w:r>
        <w:rPr>
          <w:rFonts w:hint="eastAsia" w:ascii="仿宋_GB2312" w:hAnsi="Times New Roman" w:eastAsia="仿宋_GB2312"/>
          <w:kern w:val="0"/>
          <w:sz w:val="32"/>
          <w:szCs w:val="32"/>
        </w:rPr>
        <w:t>（公务用车购置费</w:t>
      </w:r>
      <w:r>
        <w:rPr>
          <w:rFonts w:hint="eastAsia" w:ascii="仿宋_GB2312" w:hAnsi="Times New Roman" w:eastAsia="仿宋_GB2312"/>
          <w:kern w:val="0"/>
          <w:sz w:val="32"/>
          <w:szCs w:val="32"/>
          <w:lang w:val="en-US" w:eastAsia="zh-CN"/>
        </w:rPr>
        <w:t>80万元</w:t>
      </w:r>
      <w:r>
        <w:rPr>
          <w:rFonts w:hint="eastAsia" w:ascii="仿宋_GB2312" w:hAnsi="Times New Roman" w:eastAsia="仿宋_GB2312"/>
          <w:kern w:val="0"/>
          <w:sz w:val="32"/>
          <w:szCs w:val="32"/>
        </w:rPr>
        <w:t>、公务用车运行</w:t>
      </w:r>
      <w:r>
        <w:rPr>
          <w:rFonts w:hint="eastAsia" w:ascii="仿宋_GB2312" w:hAnsi="Times New Roman" w:eastAsia="仿宋_GB2312"/>
          <w:kern w:val="0"/>
          <w:sz w:val="32"/>
          <w:szCs w:val="32"/>
          <w:lang w:eastAsia="zh-CN"/>
        </w:rPr>
        <w:t>维护</w:t>
      </w:r>
      <w:r>
        <w:rPr>
          <w:rFonts w:hint="eastAsia" w:ascii="仿宋_GB2312" w:hAnsi="Times New Roman" w:eastAsia="仿宋_GB2312"/>
          <w:kern w:val="0"/>
          <w:sz w:val="32"/>
          <w:szCs w:val="32"/>
        </w:rPr>
        <w:t>费</w:t>
      </w:r>
      <w:r>
        <w:rPr>
          <w:rFonts w:hint="eastAsia" w:ascii="仿宋_GB2312" w:hAnsi="Times New Roman" w:eastAsia="仿宋_GB2312"/>
          <w:kern w:val="0"/>
          <w:sz w:val="32"/>
          <w:szCs w:val="32"/>
          <w:lang w:val="en-US" w:eastAsia="zh-CN"/>
        </w:rPr>
        <w:t>45.70万元</w:t>
      </w:r>
      <w:r>
        <w:rPr>
          <w:rFonts w:hint="eastAsia" w:ascii="仿宋_GB2312" w:hAnsi="Times New Roman" w:eastAsia="仿宋_GB2312"/>
          <w:kern w:val="0"/>
          <w:sz w:val="32"/>
          <w:szCs w:val="32"/>
        </w:rPr>
        <w:t>）、公务接待费</w:t>
      </w:r>
      <w:r>
        <w:rPr>
          <w:rFonts w:hint="eastAsia" w:ascii="仿宋_GB2312" w:hAnsi="Times New Roman" w:eastAsia="仿宋_GB2312"/>
          <w:kern w:val="0"/>
          <w:sz w:val="32"/>
          <w:szCs w:val="32"/>
          <w:lang w:val="en-US" w:eastAsia="zh-CN"/>
        </w:rPr>
        <w:t>2万元。</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rPr>
        <w:t>因公出国经费与上年预算相比无变化，20</w:t>
      </w:r>
      <w:r>
        <w:rPr>
          <w:rFonts w:hint="eastAsia" w:ascii="仿宋_GB2312" w:hAnsi="Times New Roman" w:eastAsia="仿宋_GB2312"/>
          <w:kern w:val="0"/>
          <w:sz w:val="32"/>
          <w:szCs w:val="32"/>
          <w:lang w:val="en-US" w:eastAsia="zh-CN"/>
        </w:rPr>
        <w:t>21</w:t>
      </w:r>
      <w:r>
        <w:rPr>
          <w:rFonts w:hint="eastAsia" w:ascii="仿宋_GB2312" w:hAnsi="Times New Roman" w:eastAsia="仿宋_GB2312"/>
          <w:kern w:val="0"/>
          <w:sz w:val="32"/>
          <w:szCs w:val="32"/>
        </w:rPr>
        <w:t>年无组织出国培训计划,无需安排出国资金。公务用车购置及运行费与上年预算相比</w:t>
      </w:r>
      <w:r>
        <w:rPr>
          <w:rFonts w:hint="eastAsia" w:ascii="仿宋_GB2312" w:hAnsi="Times New Roman" w:eastAsia="仿宋_GB2312"/>
          <w:kern w:val="0"/>
          <w:sz w:val="32"/>
          <w:szCs w:val="32"/>
          <w:lang w:eastAsia="zh-CN"/>
        </w:rPr>
        <w:t>增加</w:t>
      </w:r>
      <w:r>
        <w:rPr>
          <w:rFonts w:hint="eastAsia" w:ascii="仿宋_GB2312" w:hAnsi="Times New Roman" w:eastAsia="仿宋_GB2312"/>
          <w:kern w:val="0"/>
          <w:sz w:val="32"/>
          <w:szCs w:val="32"/>
          <w:lang w:val="en-US" w:eastAsia="zh-CN"/>
        </w:rPr>
        <w:t>80.5万元</w:t>
      </w:r>
      <w:r>
        <w:rPr>
          <w:rFonts w:hint="eastAsia" w:ascii="仿宋_GB2312" w:hAnsi="Times New Roman" w:eastAsia="仿宋_GB2312"/>
          <w:kern w:val="0"/>
          <w:sz w:val="32"/>
          <w:szCs w:val="32"/>
        </w:rPr>
        <w:t>，主要原因为：</w:t>
      </w:r>
      <w:r>
        <w:rPr>
          <w:rFonts w:hint="eastAsia" w:ascii="仿宋_GB2312" w:hAnsi="Times New Roman" w:eastAsia="仿宋_GB2312"/>
          <w:kern w:val="0"/>
          <w:sz w:val="32"/>
          <w:szCs w:val="32"/>
          <w:lang w:eastAsia="zh-CN"/>
        </w:rPr>
        <w:t>公务用车购置费增加</w:t>
      </w:r>
      <w:r>
        <w:rPr>
          <w:rFonts w:hint="eastAsia" w:ascii="仿宋_GB2312" w:hAnsi="Times New Roman" w:eastAsia="仿宋_GB2312"/>
          <w:kern w:val="0"/>
          <w:sz w:val="32"/>
          <w:szCs w:val="32"/>
          <w:lang w:val="en-US" w:eastAsia="zh-CN"/>
        </w:rPr>
        <w:t>70.5万元，</w:t>
      </w:r>
      <w:r>
        <w:rPr>
          <w:rFonts w:hint="eastAsia" w:ascii="仿宋_GB2312" w:hAnsi="Times New Roman" w:eastAsia="仿宋_GB2312"/>
          <w:kern w:val="0"/>
          <w:sz w:val="32"/>
          <w:szCs w:val="32"/>
          <w:lang w:eastAsia="zh-CN"/>
        </w:rPr>
        <w:t>预计购入特种车辆</w:t>
      </w:r>
      <w:r>
        <w:rPr>
          <w:rFonts w:hint="eastAsia" w:ascii="仿宋_GB2312" w:hAnsi="Times New Roman" w:eastAsia="仿宋_GB2312"/>
          <w:kern w:val="0"/>
          <w:sz w:val="32"/>
          <w:szCs w:val="32"/>
          <w:lang w:val="en-US" w:eastAsia="zh-CN"/>
        </w:rPr>
        <w:t>1</w:t>
      </w:r>
      <w:r>
        <w:rPr>
          <w:rFonts w:hint="eastAsia" w:ascii="仿宋_GB2312" w:hAnsi="Times New Roman" w:eastAsia="仿宋_GB2312"/>
          <w:kern w:val="0"/>
          <w:sz w:val="32"/>
          <w:szCs w:val="32"/>
          <w:lang w:eastAsia="zh-CN"/>
        </w:rPr>
        <w:t>辆、执法执勤车辆</w:t>
      </w:r>
      <w:r>
        <w:rPr>
          <w:rFonts w:hint="eastAsia" w:ascii="仿宋_GB2312" w:hAnsi="Times New Roman" w:eastAsia="仿宋_GB2312"/>
          <w:kern w:val="0"/>
          <w:sz w:val="32"/>
          <w:szCs w:val="32"/>
          <w:lang w:val="en-US" w:eastAsia="zh-CN"/>
        </w:rPr>
        <w:t>4辆；公务用车运行维护费增加10万元，</w:t>
      </w:r>
      <w:r>
        <w:rPr>
          <w:rFonts w:hint="eastAsia" w:ascii="仿宋_GB2312" w:hAnsi="Times New Roman" w:eastAsia="仿宋_GB2312"/>
          <w:kern w:val="0"/>
          <w:sz w:val="32"/>
          <w:szCs w:val="32"/>
        </w:rPr>
        <w:t>案件数量逐年加大</w:t>
      </w:r>
      <w:r>
        <w:rPr>
          <w:rFonts w:hint="eastAsia" w:ascii="仿宋_GB2312" w:hAnsi="Times New Roman" w:eastAsia="仿宋_GB2312"/>
          <w:kern w:val="0"/>
          <w:sz w:val="32"/>
          <w:szCs w:val="32"/>
          <w:lang w:eastAsia="zh-CN"/>
        </w:rPr>
        <w:t>执勤</w:t>
      </w:r>
      <w:r>
        <w:rPr>
          <w:rFonts w:hint="eastAsia" w:ascii="仿宋_GB2312" w:hAnsi="Times New Roman" w:eastAsia="仿宋_GB2312"/>
          <w:kern w:val="0"/>
          <w:sz w:val="32"/>
          <w:szCs w:val="32"/>
        </w:rPr>
        <w:t>车辆的使用率</w:t>
      </w:r>
      <w:r>
        <w:rPr>
          <w:rFonts w:hint="eastAsia" w:ascii="仿宋_GB2312" w:hAnsi="Times New Roman" w:eastAsia="仿宋_GB2312"/>
          <w:kern w:val="0"/>
          <w:sz w:val="32"/>
          <w:szCs w:val="32"/>
          <w:lang w:eastAsia="zh-CN"/>
        </w:rPr>
        <w:t>明显增加</w:t>
      </w:r>
      <w:r>
        <w:rPr>
          <w:rFonts w:hint="eastAsia" w:ascii="仿宋_GB2312" w:hAnsi="Times New Roman" w:eastAsia="仿宋_GB2312"/>
          <w:kern w:val="0"/>
          <w:sz w:val="32"/>
          <w:szCs w:val="32"/>
        </w:rPr>
        <w:t>，公车运行维护费用</w:t>
      </w:r>
      <w:r>
        <w:rPr>
          <w:rFonts w:hint="eastAsia" w:ascii="仿宋_GB2312" w:hAnsi="Times New Roman" w:eastAsia="仿宋_GB2312"/>
          <w:kern w:val="0"/>
          <w:sz w:val="32"/>
          <w:szCs w:val="32"/>
          <w:lang w:eastAsia="zh-CN"/>
        </w:rPr>
        <w:t>增加</w:t>
      </w:r>
      <w:r>
        <w:rPr>
          <w:rFonts w:hint="eastAsia" w:ascii="仿宋_GB2312" w:hAnsi="Times New Roman" w:eastAsia="仿宋_GB2312"/>
          <w:kern w:val="0"/>
          <w:sz w:val="32"/>
          <w:szCs w:val="32"/>
        </w:rPr>
        <w:t>。公务接待费</w:t>
      </w:r>
      <w:r>
        <w:rPr>
          <w:rFonts w:hint="eastAsia" w:ascii="仿宋_GB2312" w:hAnsi="Times New Roman" w:eastAsia="仿宋_GB2312"/>
          <w:kern w:val="0"/>
          <w:sz w:val="32"/>
          <w:szCs w:val="32"/>
          <w:lang w:eastAsia="zh-CN"/>
        </w:rPr>
        <w:t>与上年预算相比无变化</w:t>
      </w:r>
      <w:r>
        <w:rPr>
          <w:rFonts w:hint="eastAsia" w:ascii="仿宋_GB2312" w:hAnsi="Times New Roman" w:eastAsia="仿宋_GB2312"/>
          <w:kern w:val="0"/>
          <w:sz w:val="32"/>
          <w:szCs w:val="32"/>
        </w:rPr>
        <w:t>，按照党的十九大报告要求：“建立全面规范透明、标准科学、约束有力的预算制度，全面实施绩效管理”，实事求是安排了公务接待费。</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五、绩效预算信息情况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1、总体绩效目标</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法院队伍整体素质进一步增强，法院队伍思想政治水平和职业道德素养不断提高，社会主义法治理念更加巩固，司法能力特别是认识和把握大局、化解社会矛盾，促进社会和谐的能力显著增强，法院人才队伍结构更加优化。</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（2）法院工作科学化水平进一步提升。工作方针全面贯彻落实，为审判服务的理念牢固确立，各项工作扎实有序推进，管理更加科学规范，工作机制更加完善，工作质量有新的提高。</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（3）基础建设进一步完善。</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 xml:space="preserve">2、部门职责及工作活动绩效目标 </w:t>
      </w:r>
    </w:p>
    <w:tbl>
      <w:tblPr>
        <w:tblStyle w:val="4"/>
        <w:tblW w:w="1291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68"/>
        <w:gridCol w:w="1181"/>
        <w:gridCol w:w="2756"/>
        <w:gridCol w:w="2756"/>
        <w:gridCol w:w="1328"/>
        <w:gridCol w:w="679"/>
        <w:gridCol w:w="679"/>
        <w:gridCol w:w="679"/>
        <w:gridCol w:w="69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 w:hRule="atLeast"/>
          <w:tblHeader/>
          <w:jc w:val="center"/>
        </w:trPr>
        <w:tc>
          <w:tcPr>
            <w:tcW w:w="10189" w:type="dxa"/>
            <w:gridSpan w:val="5"/>
            <w:tcBorders>
              <w:top w:val="single" w:color="FFFFFF" w:sz="6" w:space="0"/>
              <w:left w:val="single" w:color="FFFFFF" w:sz="6" w:space="0"/>
              <w:right w:val="single" w:color="FFFFFF" w:sz="6" w:space="0"/>
            </w:tcBorders>
            <w:noWrap w:val="0"/>
            <w:vAlign w:val="center"/>
          </w:tcPr>
          <w:p>
            <w:pPr>
              <w:spacing w:line="300" w:lineRule="exact"/>
              <w:jc w:val="left"/>
              <w:rPr>
                <w:rFonts w:ascii="方正小标宋_GBK" w:eastAsia="方正小标宋_GBK"/>
                <w:sz w:val="24"/>
              </w:rPr>
            </w:pPr>
            <w:r>
              <w:rPr>
                <w:rFonts w:hint="eastAsia" w:ascii="方正小标宋_GBK" w:eastAsia="方正小标宋_GBK"/>
                <w:sz w:val="24"/>
              </w:rPr>
              <w:t>161人民法院</w:t>
            </w:r>
          </w:p>
        </w:tc>
        <w:tc>
          <w:tcPr>
            <w:tcW w:w="2730" w:type="dxa"/>
            <w:gridSpan w:val="4"/>
            <w:tcBorders>
              <w:top w:val="single" w:color="FFFFFF" w:sz="6" w:space="0"/>
              <w:left w:val="single" w:color="FFFFFF" w:sz="6" w:space="0"/>
              <w:right w:val="single" w:color="FFFFFF" w:sz="6" w:space="0"/>
            </w:tcBorders>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 w:hRule="atLeast"/>
          <w:tblHeader/>
          <w:jc w:val="center"/>
        </w:trPr>
        <w:tc>
          <w:tcPr>
            <w:tcW w:w="2168" w:type="dxa"/>
            <w:vMerge w:val="restart"/>
            <w:noWrap w:val="0"/>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181" w:type="dxa"/>
            <w:vMerge w:val="restart"/>
            <w:noWrap w:val="0"/>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756" w:type="dxa"/>
            <w:vMerge w:val="restart"/>
            <w:noWrap w:val="0"/>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756" w:type="dxa"/>
            <w:vMerge w:val="restart"/>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328" w:type="dxa"/>
            <w:vMerge w:val="restart"/>
            <w:noWrap w:val="0"/>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730" w:type="dxa"/>
            <w:gridSpan w:val="4"/>
            <w:noWrap w:val="0"/>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 w:hRule="atLeast"/>
          <w:tblHeader/>
          <w:jc w:val="center"/>
        </w:trPr>
        <w:tc>
          <w:tcPr>
            <w:tcW w:w="2168" w:type="dxa"/>
            <w:vMerge w:val="continue"/>
            <w:noWrap w:val="0"/>
            <w:vAlign w:val="center"/>
          </w:tcPr>
          <w:p>
            <w:pPr>
              <w:spacing w:line="300" w:lineRule="exact"/>
              <w:jc w:val="left"/>
              <w:outlineLvl w:val="0"/>
            </w:pPr>
          </w:p>
        </w:tc>
        <w:tc>
          <w:tcPr>
            <w:tcW w:w="1181" w:type="dxa"/>
            <w:vMerge w:val="continue"/>
            <w:noWrap w:val="0"/>
            <w:vAlign w:val="center"/>
          </w:tcPr>
          <w:p>
            <w:pPr>
              <w:spacing w:line="300" w:lineRule="exact"/>
              <w:jc w:val="left"/>
              <w:outlineLvl w:val="0"/>
            </w:pPr>
          </w:p>
        </w:tc>
        <w:tc>
          <w:tcPr>
            <w:tcW w:w="2756" w:type="dxa"/>
            <w:vMerge w:val="continue"/>
            <w:noWrap w:val="0"/>
            <w:vAlign w:val="center"/>
          </w:tcPr>
          <w:p>
            <w:pPr>
              <w:spacing w:line="300" w:lineRule="exact"/>
              <w:jc w:val="left"/>
              <w:outlineLvl w:val="0"/>
            </w:pPr>
          </w:p>
        </w:tc>
        <w:tc>
          <w:tcPr>
            <w:tcW w:w="2756" w:type="dxa"/>
            <w:vMerge w:val="continue"/>
            <w:noWrap w:val="0"/>
            <w:vAlign w:val="center"/>
          </w:tcPr>
          <w:p>
            <w:pPr>
              <w:spacing w:line="300" w:lineRule="exact"/>
              <w:jc w:val="left"/>
              <w:outlineLvl w:val="0"/>
            </w:pPr>
          </w:p>
        </w:tc>
        <w:tc>
          <w:tcPr>
            <w:tcW w:w="1328" w:type="dxa"/>
            <w:vMerge w:val="continue"/>
            <w:noWrap w:val="0"/>
            <w:vAlign w:val="center"/>
          </w:tcPr>
          <w:p>
            <w:pPr>
              <w:spacing w:line="300" w:lineRule="exact"/>
              <w:jc w:val="left"/>
              <w:outlineLvl w:val="0"/>
            </w:pPr>
          </w:p>
        </w:tc>
        <w:tc>
          <w:tcPr>
            <w:tcW w:w="679" w:type="dxa"/>
            <w:noWrap w:val="0"/>
            <w:vAlign w:val="center"/>
          </w:tcPr>
          <w:p>
            <w:pPr>
              <w:spacing w:line="300" w:lineRule="exact"/>
              <w:jc w:val="center"/>
              <w:rPr>
                <w:rFonts w:ascii="方正书宋_GBK" w:eastAsia="方正书宋_GBK"/>
                <w:b/>
              </w:rPr>
            </w:pPr>
            <w:r>
              <w:rPr>
                <w:rFonts w:hint="eastAsia" w:ascii="方正书宋_GBK" w:eastAsia="方正书宋_GBK"/>
                <w:b/>
              </w:rPr>
              <w:t>优</w:t>
            </w:r>
          </w:p>
        </w:tc>
        <w:tc>
          <w:tcPr>
            <w:tcW w:w="679" w:type="dxa"/>
            <w:noWrap w:val="0"/>
            <w:vAlign w:val="center"/>
          </w:tcPr>
          <w:p>
            <w:pPr>
              <w:spacing w:line="300" w:lineRule="exact"/>
              <w:jc w:val="center"/>
              <w:rPr>
                <w:rFonts w:ascii="方正书宋_GBK" w:eastAsia="方正书宋_GBK"/>
                <w:b/>
              </w:rPr>
            </w:pPr>
            <w:r>
              <w:rPr>
                <w:rFonts w:hint="eastAsia" w:ascii="方正书宋_GBK" w:eastAsia="方正书宋_GBK"/>
                <w:b/>
              </w:rPr>
              <w:t>良</w:t>
            </w:r>
          </w:p>
        </w:tc>
        <w:tc>
          <w:tcPr>
            <w:tcW w:w="679" w:type="dxa"/>
            <w:noWrap w:val="0"/>
            <w:vAlign w:val="center"/>
          </w:tcPr>
          <w:p>
            <w:pPr>
              <w:spacing w:line="300" w:lineRule="exact"/>
              <w:jc w:val="center"/>
              <w:rPr>
                <w:rFonts w:ascii="方正书宋_GBK" w:eastAsia="方正书宋_GBK"/>
                <w:b/>
              </w:rPr>
            </w:pPr>
            <w:r>
              <w:rPr>
                <w:rFonts w:hint="eastAsia" w:ascii="方正书宋_GBK" w:eastAsia="方正书宋_GBK"/>
                <w:b/>
              </w:rPr>
              <w:t>中</w:t>
            </w:r>
          </w:p>
        </w:tc>
        <w:tc>
          <w:tcPr>
            <w:tcW w:w="693" w:type="dxa"/>
            <w:noWrap w:val="0"/>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78" w:hRule="atLeast"/>
          <w:jc w:val="center"/>
        </w:trPr>
        <w:tc>
          <w:tcPr>
            <w:tcW w:w="2168" w:type="dxa"/>
            <w:noWrap w:val="0"/>
            <w:vAlign w:val="center"/>
          </w:tcPr>
          <w:p>
            <w:pPr>
              <w:spacing w:line="300" w:lineRule="exact"/>
              <w:jc w:val="left"/>
              <w:rPr>
                <w:rFonts w:ascii="方正书宋_GBK" w:eastAsia="方正书宋_GBK"/>
                <w:b/>
              </w:rPr>
            </w:pPr>
            <w:r>
              <w:rPr>
                <w:rFonts w:hint="eastAsia" w:ascii="方正书宋_GBK" w:eastAsia="方正书宋_GBK"/>
                <w:b/>
              </w:rPr>
              <w:t>一、案件审判管理和执行</w:t>
            </w:r>
          </w:p>
        </w:tc>
        <w:tc>
          <w:tcPr>
            <w:tcW w:w="1181" w:type="dxa"/>
            <w:noWrap w:val="0"/>
            <w:vAlign w:val="center"/>
          </w:tcPr>
          <w:p>
            <w:pPr>
              <w:spacing w:line="300" w:lineRule="exact"/>
              <w:jc w:val="left"/>
              <w:rPr>
                <w:rFonts w:hint="default" w:ascii="方正书宋_GBK" w:eastAsia="方正书宋_GBK"/>
                <w:lang w:val="en-US" w:eastAsia="zh-CN"/>
              </w:rPr>
            </w:pPr>
            <w:r>
              <w:rPr>
                <w:rFonts w:hint="eastAsia" w:ascii="方正书宋_GBK" w:eastAsia="方正书宋_GBK"/>
                <w:lang w:val="en-US" w:eastAsia="zh-CN"/>
              </w:rPr>
              <w:t>130.00</w:t>
            </w:r>
          </w:p>
        </w:tc>
        <w:tc>
          <w:tcPr>
            <w:tcW w:w="2756" w:type="dxa"/>
            <w:noWrap w:val="0"/>
            <w:vAlign w:val="center"/>
          </w:tcPr>
          <w:p>
            <w:pPr>
              <w:spacing w:line="300" w:lineRule="exact"/>
              <w:jc w:val="left"/>
              <w:rPr>
                <w:rFonts w:ascii="方正书宋_GBK" w:eastAsia="方正书宋_GBK"/>
              </w:rPr>
            </w:pPr>
            <w:r>
              <w:rPr>
                <w:rFonts w:hint="eastAsia" w:ascii="方正书宋_GBK" w:eastAsia="方正书宋_GBK"/>
              </w:rPr>
              <w:t>依法审判法律规定由县级人民法院管辖的刑事、民事、行政等一审案件，依法办理发生法律效力判决、其他法律文书的执行，做好审判管理工作。</w:t>
            </w:r>
          </w:p>
        </w:tc>
        <w:tc>
          <w:tcPr>
            <w:tcW w:w="2756" w:type="dxa"/>
            <w:noWrap w:val="0"/>
            <w:vAlign w:val="center"/>
          </w:tcPr>
          <w:p>
            <w:pPr>
              <w:spacing w:line="300" w:lineRule="exact"/>
              <w:jc w:val="left"/>
              <w:rPr>
                <w:rFonts w:ascii="方正书宋_GBK" w:eastAsia="方正书宋_GBK"/>
              </w:rPr>
            </w:pPr>
            <w:r>
              <w:rPr>
                <w:rFonts w:hint="eastAsia" w:ascii="方正书宋_GBK" w:eastAsia="方正书宋_GBK"/>
              </w:rPr>
              <w:t>妥善审理经济转型过程中引发的各类矛盾纠纷，依法维护国家安全和社会稳定，严惩各类严重刑事犯罪，积极推进平安建设，营造良好的法治环境。</w:t>
            </w:r>
          </w:p>
        </w:tc>
        <w:tc>
          <w:tcPr>
            <w:tcW w:w="1328" w:type="dxa"/>
            <w:noWrap w:val="0"/>
            <w:vAlign w:val="center"/>
          </w:tcPr>
          <w:p>
            <w:pPr>
              <w:spacing w:line="300" w:lineRule="exact"/>
              <w:jc w:val="left"/>
              <w:rPr>
                <w:rFonts w:ascii="方正书宋_GBK" w:eastAsia="方正书宋_GBK"/>
              </w:rPr>
            </w:pPr>
          </w:p>
        </w:tc>
        <w:tc>
          <w:tcPr>
            <w:tcW w:w="679" w:type="dxa"/>
            <w:noWrap w:val="0"/>
            <w:vAlign w:val="center"/>
          </w:tcPr>
          <w:p>
            <w:pPr>
              <w:spacing w:line="300" w:lineRule="exact"/>
              <w:jc w:val="center"/>
              <w:rPr>
                <w:rFonts w:ascii="方正书宋_GBK" w:eastAsia="方正书宋_GBK"/>
              </w:rPr>
            </w:pPr>
          </w:p>
        </w:tc>
        <w:tc>
          <w:tcPr>
            <w:tcW w:w="679" w:type="dxa"/>
            <w:noWrap w:val="0"/>
            <w:vAlign w:val="center"/>
          </w:tcPr>
          <w:p>
            <w:pPr>
              <w:spacing w:line="300" w:lineRule="exact"/>
              <w:jc w:val="center"/>
              <w:rPr>
                <w:rFonts w:ascii="方正书宋_GBK" w:eastAsia="方正书宋_GBK"/>
              </w:rPr>
            </w:pPr>
          </w:p>
        </w:tc>
        <w:tc>
          <w:tcPr>
            <w:tcW w:w="679" w:type="dxa"/>
            <w:noWrap w:val="0"/>
            <w:vAlign w:val="center"/>
          </w:tcPr>
          <w:p>
            <w:pPr>
              <w:spacing w:line="300" w:lineRule="exact"/>
              <w:jc w:val="center"/>
              <w:rPr>
                <w:rFonts w:ascii="方正书宋_GBK" w:eastAsia="方正书宋_GBK"/>
              </w:rPr>
            </w:pPr>
          </w:p>
        </w:tc>
        <w:tc>
          <w:tcPr>
            <w:tcW w:w="693" w:type="dxa"/>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31" w:hRule="atLeast"/>
          <w:jc w:val="center"/>
        </w:trPr>
        <w:tc>
          <w:tcPr>
            <w:tcW w:w="2168" w:type="dxa"/>
            <w:noWrap w:val="0"/>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、案件审判</w:t>
            </w:r>
          </w:p>
        </w:tc>
        <w:tc>
          <w:tcPr>
            <w:tcW w:w="1181" w:type="dxa"/>
            <w:noWrap w:val="0"/>
            <w:vAlign w:val="center"/>
          </w:tcPr>
          <w:p>
            <w:pPr>
              <w:spacing w:line="300" w:lineRule="exact"/>
              <w:jc w:val="left"/>
              <w:rPr>
                <w:rFonts w:ascii="方正书宋_GBK" w:eastAsia="方正书宋_GBK"/>
              </w:rPr>
            </w:pPr>
            <w:r>
              <w:rPr>
                <w:rFonts w:hint="eastAsia" w:ascii="方正书宋_GBK" w:eastAsia="方正书宋_GBK"/>
                <w:lang w:val="en-US" w:eastAsia="zh-CN"/>
              </w:rPr>
              <w:t>130</w:t>
            </w:r>
            <w:r>
              <w:rPr>
                <w:rFonts w:ascii="方正书宋_GBK" w:eastAsia="方正书宋_GBK"/>
              </w:rPr>
              <w:t>.00</w:t>
            </w:r>
          </w:p>
        </w:tc>
        <w:tc>
          <w:tcPr>
            <w:tcW w:w="2756" w:type="dxa"/>
            <w:noWrap w:val="0"/>
            <w:vAlign w:val="center"/>
          </w:tcPr>
          <w:p>
            <w:pPr>
              <w:spacing w:line="300" w:lineRule="exact"/>
              <w:jc w:val="left"/>
              <w:rPr>
                <w:rFonts w:ascii="方正书宋_GBK" w:eastAsia="方正书宋_GBK"/>
              </w:rPr>
            </w:pPr>
            <w:r>
              <w:rPr>
                <w:rFonts w:hint="eastAsia" w:ascii="方正书宋_GBK" w:eastAsia="方正书宋_GBK"/>
              </w:rPr>
              <w:t>依法审判一审刑事、民事、行政案件。</w:t>
            </w:r>
          </w:p>
        </w:tc>
        <w:tc>
          <w:tcPr>
            <w:tcW w:w="2756" w:type="dxa"/>
            <w:noWrap w:val="0"/>
            <w:vAlign w:val="center"/>
          </w:tcPr>
          <w:p>
            <w:pPr>
              <w:spacing w:line="300" w:lineRule="exact"/>
              <w:jc w:val="left"/>
              <w:rPr>
                <w:rFonts w:ascii="方正书宋_GBK" w:eastAsia="方正书宋_GBK"/>
              </w:rPr>
            </w:pPr>
            <w:r>
              <w:rPr>
                <w:rFonts w:hint="eastAsia" w:ascii="方正书宋_GBK" w:eastAsia="方正书宋_GBK"/>
              </w:rPr>
              <w:t>依法惩治刑事犯罪，监督行政机关依法行政，促进社会和谐，维护社会稳定，服务全县工作大局，发挥服务保障职能。</w:t>
            </w:r>
          </w:p>
        </w:tc>
        <w:tc>
          <w:tcPr>
            <w:tcW w:w="1328" w:type="dxa"/>
            <w:noWrap w:val="0"/>
            <w:vAlign w:val="center"/>
          </w:tcPr>
          <w:p>
            <w:pPr>
              <w:spacing w:line="300" w:lineRule="exact"/>
              <w:jc w:val="left"/>
              <w:rPr>
                <w:rFonts w:ascii="方正书宋_GBK" w:eastAsia="方正书宋_GBK"/>
              </w:rPr>
            </w:pPr>
            <w:r>
              <w:rPr>
                <w:rFonts w:hint="eastAsia" w:ascii="方正书宋_GBK" w:eastAsia="方正书宋_GBK"/>
              </w:rPr>
              <w:t>案件判决数占审判案件总数的比例</w:t>
            </w:r>
          </w:p>
        </w:tc>
        <w:tc>
          <w:tcPr>
            <w:tcW w:w="679" w:type="dxa"/>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679" w:type="dxa"/>
            <w:noWrap w:val="0"/>
            <w:vAlign w:val="center"/>
          </w:tcPr>
          <w:p>
            <w:pPr>
              <w:spacing w:line="300" w:lineRule="exact"/>
              <w:jc w:val="center"/>
              <w:rPr>
                <w:rFonts w:ascii="方正书宋_GBK" w:eastAsia="方正书宋_GBK"/>
              </w:rPr>
            </w:pPr>
            <w:r>
              <w:rPr>
                <w:rFonts w:hint="eastAsia" w:ascii="方正书宋_GBK" w:eastAsia="方正书宋_GBK"/>
              </w:rPr>
              <w:t>≥</w:t>
            </w:r>
            <w:r>
              <w:rPr>
                <w:rFonts w:hint="eastAsia" w:ascii="方正书宋_GBK" w:eastAsia="方正书宋_GBK"/>
                <w:lang w:val="en-US" w:eastAsia="zh-CN"/>
              </w:rPr>
              <w:t>80</w:t>
            </w:r>
            <w:r>
              <w:rPr>
                <w:rFonts w:ascii="方正书宋_GBK" w:eastAsia="方正书宋_GBK"/>
              </w:rPr>
              <w:t>%</w:t>
            </w:r>
          </w:p>
        </w:tc>
        <w:tc>
          <w:tcPr>
            <w:tcW w:w="679" w:type="dxa"/>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75%</w:t>
            </w:r>
          </w:p>
        </w:tc>
        <w:tc>
          <w:tcPr>
            <w:tcW w:w="693" w:type="dxa"/>
            <w:noWrap w:val="0"/>
            <w:vAlign w:val="center"/>
          </w:tcPr>
          <w:p>
            <w:pPr>
              <w:spacing w:line="300" w:lineRule="exact"/>
              <w:jc w:val="center"/>
              <w:rPr>
                <w:rFonts w:hint="default" w:ascii="方正书宋_GBK" w:eastAsia="方正书宋_GBK"/>
                <w:lang w:val="en-US" w:eastAsia="zh-CN"/>
              </w:rPr>
            </w:pPr>
            <w:r>
              <w:rPr>
                <w:rFonts w:hint="eastAsia" w:ascii="方正书宋_GBK" w:eastAsia="方正书宋_GBK"/>
                <w:lang w:eastAsia="zh-CN"/>
              </w:rPr>
              <w:t>＜</w:t>
            </w:r>
            <w:r>
              <w:rPr>
                <w:rFonts w:hint="eastAsia" w:ascii="方正书宋_GBK" w:eastAsia="方正书宋_GBK"/>
                <w:lang w:val="en-US" w:eastAsia="zh-CN"/>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168" w:type="dxa"/>
            <w:noWrap w:val="0"/>
            <w:vAlign w:val="center"/>
          </w:tcPr>
          <w:p>
            <w:pPr>
              <w:spacing w:line="300" w:lineRule="exact"/>
              <w:jc w:val="left"/>
              <w:rPr>
                <w:rFonts w:hint="eastAsia" w:ascii="方正书宋_GBK" w:hAnsi="Calibri" w:eastAsia="方正书宋_GBK" w:cs="Times New Roman"/>
                <w:b/>
                <w:kern w:val="2"/>
                <w:sz w:val="21"/>
                <w:szCs w:val="22"/>
                <w:lang w:val="en-US" w:eastAsia="zh-CN" w:bidi="ar-SA"/>
              </w:rPr>
            </w:pPr>
            <w:r>
              <w:rPr>
                <w:rFonts w:hint="eastAsia" w:ascii="方正书宋_GBK" w:eastAsia="方正书宋_GBK"/>
                <w:b/>
              </w:rPr>
              <w:t>二、法院事务管理</w:t>
            </w:r>
          </w:p>
        </w:tc>
        <w:tc>
          <w:tcPr>
            <w:tcW w:w="1181" w:type="dxa"/>
            <w:noWrap w:val="0"/>
            <w:vAlign w:val="center"/>
          </w:tcPr>
          <w:p>
            <w:pPr>
              <w:spacing w:line="300" w:lineRule="exact"/>
              <w:jc w:val="left"/>
              <w:rPr>
                <w:rFonts w:hint="default" w:ascii="方正书宋_GBK" w:hAnsi="Calibri" w:eastAsia="方正书宋_GBK" w:cs="Times New Roman"/>
                <w:kern w:val="2"/>
                <w:sz w:val="21"/>
                <w:szCs w:val="22"/>
                <w:lang w:val="en-US" w:eastAsia="zh-CN" w:bidi="ar-SA"/>
              </w:rPr>
            </w:pPr>
            <w:r>
              <w:rPr>
                <w:rFonts w:hint="eastAsia" w:ascii="方正书宋_GBK" w:eastAsia="方正书宋_GBK"/>
                <w:lang w:val="en-US" w:eastAsia="zh-CN"/>
              </w:rPr>
              <w:t>124.7</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系统综合业务管理和综合事务管理。</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提高队伍素质和执法能力，高质高效完成各项工作。</w:t>
            </w:r>
          </w:p>
        </w:tc>
        <w:tc>
          <w:tcPr>
            <w:tcW w:w="1328"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p>
        </w:tc>
        <w:tc>
          <w:tcPr>
            <w:tcW w:w="693"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31" w:hRule="atLeast"/>
          <w:jc w:val="center"/>
        </w:trPr>
        <w:tc>
          <w:tcPr>
            <w:tcW w:w="2168" w:type="dxa"/>
            <w:noWrap w:val="0"/>
            <w:vAlign w:val="center"/>
          </w:tcPr>
          <w:p>
            <w:pPr>
              <w:spacing w:line="300" w:lineRule="exact"/>
              <w:jc w:val="left"/>
              <w:rPr>
                <w:rFonts w:hint="eastAsia" w:ascii="方正书宋_GBK" w:hAnsi="Calibri" w:eastAsia="方正书宋_GBK" w:cs="Times New Roman"/>
                <w:b/>
                <w:kern w:val="2"/>
                <w:sz w:val="21"/>
                <w:szCs w:val="22"/>
                <w:lang w:val="en-US" w:eastAsia="zh-CN" w:bidi="ar-SA"/>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181" w:type="dxa"/>
            <w:noWrap w:val="0"/>
            <w:vAlign w:val="center"/>
          </w:tcPr>
          <w:p>
            <w:pPr>
              <w:spacing w:line="300" w:lineRule="exact"/>
              <w:jc w:val="left"/>
              <w:rPr>
                <w:rFonts w:hint="default" w:ascii="方正书宋_GBK" w:hAnsi="Calibri" w:eastAsia="方正书宋_GBK" w:cs="Times New Roman"/>
                <w:kern w:val="2"/>
                <w:sz w:val="21"/>
                <w:szCs w:val="22"/>
                <w:lang w:val="en-US" w:eastAsia="zh-CN" w:bidi="ar-SA"/>
              </w:rPr>
            </w:pPr>
            <w:r>
              <w:rPr>
                <w:rFonts w:hint="eastAsia" w:ascii="方正书宋_GBK" w:eastAsia="方正书宋_GBK" w:cs="Times New Roman"/>
                <w:kern w:val="2"/>
                <w:sz w:val="21"/>
                <w:szCs w:val="22"/>
                <w:lang w:val="en-US" w:eastAsia="zh-CN" w:bidi="ar-SA"/>
              </w:rPr>
              <w:t>87.5</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及时为临时工等人员发放工资</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及时为临时工等人员发放工资</w:t>
            </w:r>
          </w:p>
        </w:tc>
        <w:tc>
          <w:tcPr>
            <w:tcW w:w="1328"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资金发放到位率</w:t>
            </w: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r>
              <w:rPr>
                <w:rFonts w:ascii="方正书宋_GBK" w:eastAsia="方正书宋_GBK"/>
              </w:rPr>
              <w:t>100%</w:t>
            </w: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w:t>
            </w:r>
            <w:r>
              <w:rPr>
                <w:rFonts w:ascii="方正书宋_GBK" w:eastAsia="方正书宋_GBK"/>
              </w:rPr>
              <w:t>95%</w:t>
            </w: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w:t>
            </w:r>
            <w:r>
              <w:rPr>
                <w:rFonts w:hint="eastAsia" w:ascii="方正书宋_GBK" w:eastAsia="方正书宋_GBK"/>
                <w:lang w:val="en-US" w:eastAsia="zh-CN"/>
              </w:rPr>
              <w:t>85</w:t>
            </w:r>
            <w:r>
              <w:rPr>
                <w:rFonts w:ascii="方正书宋_GBK" w:eastAsia="方正书宋_GBK"/>
              </w:rPr>
              <w:t>%</w:t>
            </w:r>
          </w:p>
        </w:tc>
        <w:tc>
          <w:tcPr>
            <w:tcW w:w="693" w:type="dxa"/>
            <w:noWrap w:val="0"/>
            <w:vAlign w:val="center"/>
          </w:tcPr>
          <w:p>
            <w:pPr>
              <w:spacing w:line="300" w:lineRule="exact"/>
              <w:jc w:val="center"/>
              <w:rPr>
                <w:rFonts w:hint="default" w:ascii="方正书宋_GBK" w:hAnsi="Calibri" w:eastAsia="方正书宋_GBK" w:cs="Times New Roman"/>
                <w:kern w:val="2"/>
                <w:sz w:val="21"/>
                <w:szCs w:val="22"/>
                <w:lang w:val="en-US" w:eastAsia="zh-CN" w:bidi="ar-SA"/>
              </w:rPr>
            </w:pPr>
            <w:r>
              <w:rPr>
                <w:rFonts w:hint="eastAsia" w:ascii="方正书宋_GBK" w:eastAsia="方正书宋_GBK" w:cs="Times New Roman"/>
                <w:kern w:val="2"/>
                <w:sz w:val="21"/>
                <w:szCs w:val="22"/>
                <w:lang w:val="en-US" w:eastAsia="zh-CN" w:bidi="ar-SA"/>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31" w:hRule="atLeast"/>
          <w:jc w:val="center"/>
        </w:trPr>
        <w:tc>
          <w:tcPr>
            <w:tcW w:w="2168" w:type="dxa"/>
            <w:noWrap w:val="0"/>
            <w:vAlign w:val="center"/>
          </w:tcPr>
          <w:p>
            <w:pPr>
              <w:spacing w:line="300" w:lineRule="exact"/>
              <w:jc w:val="left"/>
              <w:rPr>
                <w:rFonts w:hint="eastAsia" w:ascii="方正书宋_GBK" w:hAnsi="Calibri" w:eastAsia="方正书宋_GBK" w:cs="Times New Roman"/>
                <w:b/>
                <w:kern w:val="2"/>
                <w:sz w:val="21"/>
                <w:szCs w:val="22"/>
                <w:lang w:val="en-US" w:eastAsia="zh-CN" w:bidi="ar-SA"/>
              </w:rPr>
            </w:pPr>
            <w:r>
              <w:rPr>
                <w:rFonts w:hint="eastAsia" w:ascii="方正书宋_GBK" w:eastAsia="方正书宋_GBK"/>
                <w:b/>
              </w:rPr>
              <w:t>　　</w:t>
            </w:r>
            <w:r>
              <w:rPr>
                <w:rFonts w:hint="eastAsia" w:ascii="方正书宋_GBK" w:eastAsia="方正书宋_GBK"/>
                <w:b/>
                <w:lang w:val="en-US" w:eastAsia="zh-CN"/>
              </w:rPr>
              <w:t>2</w:t>
            </w:r>
            <w:r>
              <w:rPr>
                <w:rFonts w:hint="eastAsia" w:ascii="方正书宋_GBK" w:eastAsia="方正书宋_GBK"/>
                <w:b/>
              </w:rPr>
              <w:t>、综合事务管理</w:t>
            </w:r>
          </w:p>
        </w:tc>
        <w:tc>
          <w:tcPr>
            <w:tcW w:w="1181" w:type="dxa"/>
            <w:noWrap w:val="0"/>
            <w:vAlign w:val="center"/>
          </w:tcPr>
          <w:p>
            <w:pPr>
              <w:spacing w:line="300" w:lineRule="exact"/>
              <w:jc w:val="left"/>
              <w:rPr>
                <w:rFonts w:hint="default" w:ascii="方正书宋_GBK" w:hAnsi="Calibri" w:eastAsia="方正书宋_GBK" w:cs="Times New Roman"/>
                <w:kern w:val="2"/>
                <w:sz w:val="21"/>
                <w:szCs w:val="22"/>
                <w:lang w:val="en-US" w:eastAsia="zh-CN" w:bidi="ar-SA"/>
              </w:rPr>
            </w:pPr>
            <w:r>
              <w:rPr>
                <w:rFonts w:hint="eastAsia" w:ascii="方正书宋_GBK" w:eastAsia="方正书宋_GBK" w:cs="Times New Roman"/>
                <w:kern w:val="2"/>
                <w:sz w:val="21"/>
                <w:szCs w:val="22"/>
                <w:lang w:val="en-US" w:eastAsia="zh-CN" w:bidi="ar-SA"/>
              </w:rPr>
              <w:t>37.2</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用于为我院陪审人员发放案件陪审补助。</w:t>
            </w:r>
          </w:p>
        </w:tc>
        <w:tc>
          <w:tcPr>
            <w:tcW w:w="2756"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按时为我院陪审人员发放案件陪审补助。</w:t>
            </w:r>
          </w:p>
        </w:tc>
        <w:tc>
          <w:tcPr>
            <w:tcW w:w="1328" w:type="dxa"/>
            <w:noWrap w:val="0"/>
            <w:vAlign w:val="center"/>
          </w:tcPr>
          <w:p>
            <w:pPr>
              <w:spacing w:line="300" w:lineRule="exact"/>
              <w:jc w:val="left"/>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参与开庭审理次数</w:t>
            </w:r>
          </w:p>
        </w:tc>
        <w:tc>
          <w:tcPr>
            <w:tcW w:w="679" w:type="dxa"/>
            <w:noWrap w:val="0"/>
            <w:vAlign w:val="center"/>
          </w:tcPr>
          <w:p>
            <w:pPr>
              <w:spacing w:line="300" w:lineRule="exact"/>
              <w:jc w:val="center"/>
              <w:rPr>
                <w:rFonts w:hint="default" w:ascii="方正书宋_GBK" w:hAnsi="Calibri" w:eastAsia="方正书宋_GBK" w:cs="Times New Roman"/>
                <w:kern w:val="2"/>
                <w:sz w:val="21"/>
                <w:szCs w:val="22"/>
                <w:lang w:val="en-US" w:eastAsia="zh-CN" w:bidi="ar-SA"/>
              </w:rPr>
            </w:pPr>
            <w:r>
              <w:rPr>
                <w:rFonts w:hint="eastAsia" w:ascii="方正书宋_GBK" w:eastAsia="方正书宋_GBK" w:cs="Times New Roman"/>
                <w:kern w:val="2"/>
                <w:sz w:val="21"/>
                <w:szCs w:val="22"/>
                <w:lang w:val="en-US" w:eastAsia="zh-CN" w:bidi="ar-SA"/>
              </w:rPr>
              <w:t>≥10</w:t>
            </w: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w:t>
            </w:r>
            <w:r>
              <w:rPr>
                <w:rFonts w:hint="eastAsia" w:ascii="方正书宋_GBK" w:eastAsia="方正书宋_GBK"/>
                <w:lang w:val="en-US" w:eastAsia="zh-CN"/>
              </w:rPr>
              <w:t>7</w:t>
            </w:r>
          </w:p>
        </w:tc>
        <w:tc>
          <w:tcPr>
            <w:tcW w:w="679" w:type="dxa"/>
            <w:noWrap w:val="0"/>
            <w:vAlign w:val="center"/>
          </w:tcPr>
          <w:p>
            <w:pPr>
              <w:spacing w:line="300" w:lineRule="exact"/>
              <w:jc w:val="center"/>
              <w:rPr>
                <w:rFonts w:hint="eastAsia" w:ascii="方正书宋_GBK" w:hAnsi="Calibri" w:eastAsia="方正书宋_GBK" w:cs="Times New Roman"/>
                <w:kern w:val="2"/>
                <w:sz w:val="21"/>
                <w:szCs w:val="22"/>
                <w:lang w:val="en-US" w:eastAsia="zh-CN" w:bidi="ar-SA"/>
              </w:rPr>
            </w:pPr>
            <w:r>
              <w:rPr>
                <w:rFonts w:hint="eastAsia" w:ascii="方正书宋_GBK" w:eastAsia="方正书宋_GBK"/>
              </w:rPr>
              <w:t>≥</w:t>
            </w:r>
            <w:r>
              <w:rPr>
                <w:rFonts w:hint="eastAsia" w:ascii="方正书宋_GBK" w:eastAsia="方正书宋_GBK"/>
                <w:lang w:val="en-US" w:eastAsia="zh-CN"/>
              </w:rPr>
              <w:t>5</w:t>
            </w:r>
          </w:p>
        </w:tc>
        <w:tc>
          <w:tcPr>
            <w:tcW w:w="693" w:type="dxa"/>
            <w:noWrap w:val="0"/>
            <w:vAlign w:val="center"/>
          </w:tcPr>
          <w:p>
            <w:pPr>
              <w:spacing w:line="300" w:lineRule="exact"/>
              <w:jc w:val="center"/>
              <w:rPr>
                <w:rFonts w:hint="default" w:ascii="方正书宋_GBK" w:hAnsi="Calibri" w:eastAsia="方正书宋_GBK" w:cs="Times New Roman"/>
                <w:kern w:val="2"/>
                <w:sz w:val="21"/>
                <w:szCs w:val="22"/>
                <w:lang w:val="en-US" w:eastAsia="zh-CN" w:bidi="ar-SA"/>
              </w:rPr>
            </w:pPr>
            <w:r>
              <w:rPr>
                <w:rFonts w:hint="eastAsia" w:ascii="方正书宋_GBK" w:eastAsia="方正书宋_GBK" w:cs="Times New Roman"/>
                <w:kern w:val="2"/>
                <w:sz w:val="21"/>
                <w:szCs w:val="22"/>
                <w:lang w:val="en-US" w:eastAsia="zh-CN" w:bidi="ar-SA"/>
              </w:rPr>
              <w:t>＜5</w:t>
            </w:r>
          </w:p>
        </w:tc>
      </w:tr>
    </w:tbl>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六、政府采购预算情况</w:t>
      </w:r>
    </w:p>
    <w:p>
      <w:pPr>
        <w:widowControl/>
        <w:shd w:val="clear" w:color="auto" w:fill="FFFFFF"/>
        <w:spacing w:line="580" w:lineRule="exact"/>
        <w:ind w:firstLine="640" w:firstLineChars="200"/>
        <w:jc w:val="left"/>
        <w:rPr>
          <w:rFonts w:hint="eastAsia" w:ascii="宋体" w:hAnsi="宋体" w:cs="宋体"/>
          <w:kern w:val="0"/>
          <w:sz w:val="32"/>
          <w:szCs w:val="32"/>
          <w:lang w:eastAsia="zh-CN"/>
        </w:rPr>
      </w:pPr>
      <w:r>
        <w:rPr>
          <w:rFonts w:hint="eastAsia" w:ascii="宋体" w:hAnsi="宋体" w:cs="宋体"/>
          <w:kern w:val="0"/>
          <w:sz w:val="32"/>
          <w:szCs w:val="32"/>
        </w:rPr>
        <w:t>本年度部门预算</w:t>
      </w:r>
      <w:r>
        <w:rPr>
          <w:rFonts w:hint="eastAsia" w:ascii="宋体" w:hAnsi="宋体" w:cs="宋体"/>
          <w:kern w:val="0"/>
          <w:sz w:val="32"/>
          <w:szCs w:val="32"/>
          <w:lang w:eastAsia="zh-CN"/>
        </w:rPr>
        <w:t>年初无</w:t>
      </w:r>
      <w:r>
        <w:rPr>
          <w:rFonts w:hint="eastAsia" w:ascii="宋体" w:hAnsi="宋体" w:cs="宋体"/>
          <w:kern w:val="0"/>
          <w:sz w:val="32"/>
          <w:szCs w:val="32"/>
        </w:rPr>
        <w:t>政府采购</w:t>
      </w:r>
      <w:r>
        <w:rPr>
          <w:rFonts w:hint="eastAsia" w:ascii="宋体" w:hAnsi="宋体" w:cs="宋体"/>
          <w:kern w:val="0"/>
          <w:sz w:val="32"/>
          <w:szCs w:val="32"/>
          <w:lang w:eastAsia="zh-CN"/>
        </w:rPr>
        <w:t>计划。</w:t>
      </w:r>
    </w:p>
    <w:p>
      <w:pPr>
        <w:jc w:val="center"/>
      </w:pPr>
      <w:r>
        <w:rPr>
          <w:rFonts w:ascii="方正小标宋_GBK" w:hAnsi="方正小标宋_GBK" w:eastAsia="方正小标宋_GBK" w:cs="方正小标宋_GBK"/>
          <w:color w:val="000000"/>
          <w:sz w:val="36"/>
        </w:rPr>
        <w:t>部门政府采购预算</w:t>
      </w:r>
    </w:p>
    <w:p>
      <w:pPr>
        <w:widowControl/>
        <w:shd w:val="clear" w:color="auto" w:fill="FFFFFF"/>
        <w:spacing w:line="580" w:lineRule="exact"/>
        <w:ind w:firstLine="640" w:firstLineChars="200"/>
        <w:jc w:val="left"/>
        <w:rPr>
          <w:rFonts w:hint="eastAsia" w:ascii="宋体" w:hAnsi="宋体" w:cs="宋体"/>
          <w:kern w:val="0"/>
          <w:sz w:val="32"/>
          <w:szCs w:val="32"/>
          <w:lang w:eastAsia="zh-CN"/>
        </w:rPr>
      </w:pPr>
    </w:p>
    <w:tbl>
      <w:tblPr>
        <w:tblStyle w:val="4"/>
        <w:tblW w:w="1601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noWrap w:val="0"/>
            <w:vAlign w:val="center"/>
          </w:tcPr>
          <w:p>
            <w:pPr>
              <w:pStyle w:val="10"/>
            </w:pPr>
            <w:r>
              <w:t>161人民法院</w:t>
            </w:r>
          </w:p>
        </w:tc>
        <w:tc>
          <w:tcPr>
            <w:tcW w:w="8676" w:type="dxa"/>
            <w:gridSpan w:val="9"/>
            <w:tcBorders>
              <w:top w:val="single" w:color="FFFFFF" w:sz="6" w:space="0"/>
              <w:left w:val="single" w:color="FFFFFF" w:sz="6" w:space="0"/>
              <w:right w:val="single" w:color="FFFFFF" w:sz="6" w:space="0"/>
            </w:tcBorders>
            <w:noWrap w:val="0"/>
            <w:vAlign w:val="center"/>
          </w:tcPr>
          <w:p>
            <w:pPr>
              <w:pStyle w:val="1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noWrap w:val="0"/>
            <w:vAlign w:val="center"/>
          </w:tcPr>
          <w:p>
            <w:pPr>
              <w:pStyle w:val="12"/>
            </w:pPr>
            <w:r>
              <w:t>政府采购项目来源</w:t>
            </w:r>
          </w:p>
        </w:tc>
        <w:tc>
          <w:tcPr>
            <w:tcW w:w="1134" w:type="dxa"/>
            <w:vMerge w:val="restart"/>
            <w:noWrap w:val="0"/>
            <w:vAlign w:val="center"/>
          </w:tcPr>
          <w:p>
            <w:pPr>
              <w:pStyle w:val="12"/>
            </w:pPr>
            <w:r>
              <w:t>采购物品名称</w:t>
            </w:r>
          </w:p>
        </w:tc>
        <w:tc>
          <w:tcPr>
            <w:tcW w:w="1134" w:type="dxa"/>
            <w:vMerge w:val="restart"/>
            <w:noWrap w:val="0"/>
            <w:vAlign w:val="center"/>
          </w:tcPr>
          <w:p>
            <w:pPr>
              <w:pStyle w:val="12"/>
            </w:pPr>
            <w:r>
              <w:t>政府采购目录序号</w:t>
            </w:r>
          </w:p>
        </w:tc>
        <w:tc>
          <w:tcPr>
            <w:tcW w:w="709" w:type="dxa"/>
            <w:vMerge w:val="restart"/>
            <w:noWrap w:val="0"/>
            <w:vAlign w:val="center"/>
          </w:tcPr>
          <w:p>
            <w:pPr>
              <w:pStyle w:val="12"/>
            </w:pPr>
            <w:r>
              <w:t>计量  单位</w:t>
            </w:r>
          </w:p>
        </w:tc>
        <w:tc>
          <w:tcPr>
            <w:tcW w:w="850" w:type="dxa"/>
            <w:vMerge w:val="restart"/>
            <w:noWrap w:val="0"/>
            <w:vAlign w:val="center"/>
          </w:tcPr>
          <w:p>
            <w:pPr>
              <w:pStyle w:val="12"/>
            </w:pPr>
            <w:r>
              <w:t>数量</w:t>
            </w:r>
          </w:p>
        </w:tc>
        <w:tc>
          <w:tcPr>
            <w:tcW w:w="850" w:type="dxa"/>
            <w:vMerge w:val="restart"/>
            <w:noWrap w:val="0"/>
            <w:vAlign w:val="center"/>
          </w:tcPr>
          <w:p>
            <w:pPr>
              <w:pStyle w:val="12"/>
            </w:pPr>
            <w:r>
              <w:t>单价</w:t>
            </w:r>
          </w:p>
        </w:tc>
        <w:tc>
          <w:tcPr>
            <w:tcW w:w="7712" w:type="dxa"/>
            <w:gridSpan w:val="8"/>
            <w:noWrap w:val="0"/>
            <w:vAlign w:val="center"/>
          </w:tcPr>
          <w:p>
            <w:pPr>
              <w:pStyle w:val="12"/>
            </w:pPr>
            <w:r>
              <w:t>政府采购金额（当年部门预算安排资金）</w:t>
            </w:r>
          </w:p>
        </w:tc>
        <w:tc>
          <w:tcPr>
            <w:tcW w:w="964" w:type="dxa"/>
            <w:vMerge w:val="restart"/>
            <w:noWrap w:val="0"/>
            <w:vAlign w:val="center"/>
          </w:tcPr>
          <w:p>
            <w:pPr>
              <w:pStyle w:val="12"/>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noWrap w:val="0"/>
            <w:vAlign w:val="center"/>
          </w:tcPr>
          <w:p>
            <w:pPr>
              <w:pStyle w:val="12"/>
            </w:pPr>
            <w:r>
              <w:t>项目名称</w:t>
            </w:r>
          </w:p>
        </w:tc>
        <w:tc>
          <w:tcPr>
            <w:tcW w:w="964" w:type="dxa"/>
            <w:noWrap w:val="0"/>
            <w:vAlign w:val="center"/>
          </w:tcPr>
          <w:p>
            <w:pPr>
              <w:pStyle w:val="12"/>
            </w:pPr>
            <w:r>
              <w:t>预算    资金</w:t>
            </w:r>
          </w:p>
        </w:tc>
        <w:tc>
          <w:tcPr>
            <w:tcW w:w="1134" w:type="dxa"/>
            <w:vMerge w:val="continue"/>
            <w:noWrap w:val="0"/>
            <w:vAlign w:val="top"/>
          </w:tcPr>
          <w:p/>
        </w:tc>
        <w:tc>
          <w:tcPr>
            <w:tcW w:w="1134" w:type="dxa"/>
            <w:vMerge w:val="continue"/>
            <w:noWrap w:val="0"/>
            <w:vAlign w:val="top"/>
          </w:tcPr>
          <w:p/>
        </w:tc>
        <w:tc>
          <w:tcPr>
            <w:tcW w:w="709" w:type="dxa"/>
            <w:vMerge w:val="continue"/>
            <w:noWrap w:val="0"/>
            <w:vAlign w:val="top"/>
          </w:tcPr>
          <w:p/>
        </w:tc>
        <w:tc>
          <w:tcPr>
            <w:tcW w:w="850" w:type="dxa"/>
            <w:vMerge w:val="continue"/>
            <w:noWrap w:val="0"/>
            <w:vAlign w:val="top"/>
          </w:tcPr>
          <w:p/>
        </w:tc>
        <w:tc>
          <w:tcPr>
            <w:tcW w:w="850" w:type="dxa"/>
            <w:vMerge w:val="continue"/>
            <w:noWrap w:val="0"/>
            <w:vAlign w:val="top"/>
          </w:tcPr>
          <w:p/>
        </w:tc>
        <w:tc>
          <w:tcPr>
            <w:tcW w:w="964" w:type="dxa"/>
            <w:noWrap w:val="0"/>
            <w:vAlign w:val="center"/>
          </w:tcPr>
          <w:p>
            <w:pPr>
              <w:pStyle w:val="12"/>
            </w:pPr>
            <w:r>
              <w:t>合计</w:t>
            </w:r>
          </w:p>
        </w:tc>
        <w:tc>
          <w:tcPr>
            <w:tcW w:w="964" w:type="dxa"/>
            <w:noWrap w:val="0"/>
            <w:vAlign w:val="center"/>
          </w:tcPr>
          <w:p>
            <w:pPr>
              <w:pStyle w:val="12"/>
            </w:pPr>
            <w:r>
              <w:t>一般公共预算拨款</w:t>
            </w:r>
          </w:p>
        </w:tc>
        <w:tc>
          <w:tcPr>
            <w:tcW w:w="964" w:type="dxa"/>
            <w:noWrap w:val="0"/>
            <w:vAlign w:val="center"/>
          </w:tcPr>
          <w:p>
            <w:pPr>
              <w:pStyle w:val="12"/>
            </w:pPr>
            <w:r>
              <w:t>基金预算拨款</w:t>
            </w:r>
          </w:p>
        </w:tc>
        <w:tc>
          <w:tcPr>
            <w:tcW w:w="964" w:type="dxa"/>
            <w:noWrap w:val="0"/>
            <w:vAlign w:val="center"/>
          </w:tcPr>
          <w:p>
            <w:pPr>
              <w:pStyle w:val="12"/>
            </w:pPr>
            <w:r>
              <w:t>国有资本经营预算拨款</w:t>
            </w:r>
          </w:p>
        </w:tc>
        <w:tc>
          <w:tcPr>
            <w:tcW w:w="964" w:type="dxa"/>
            <w:noWrap w:val="0"/>
            <w:vAlign w:val="center"/>
          </w:tcPr>
          <w:p>
            <w:pPr>
              <w:pStyle w:val="12"/>
            </w:pPr>
            <w:r>
              <w:t>财政专户核拨</w:t>
            </w:r>
          </w:p>
        </w:tc>
        <w:tc>
          <w:tcPr>
            <w:tcW w:w="964" w:type="dxa"/>
            <w:noWrap w:val="0"/>
            <w:vAlign w:val="center"/>
          </w:tcPr>
          <w:p>
            <w:pPr>
              <w:pStyle w:val="12"/>
            </w:pPr>
            <w:r>
              <w:t>单位    资金</w:t>
            </w:r>
          </w:p>
        </w:tc>
        <w:tc>
          <w:tcPr>
            <w:tcW w:w="964" w:type="dxa"/>
            <w:noWrap w:val="0"/>
            <w:vAlign w:val="center"/>
          </w:tcPr>
          <w:p>
            <w:pPr>
              <w:pStyle w:val="12"/>
            </w:pPr>
            <w:r>
              <w:t>财政拨    款结转</w:t>
            </w:r>
          </w:p>
        </w:tc>
        <w:tc>
          <w:tcPr>
            <w:tcW w:w="964" w:type="dxa"/>
            <w:noWrap w:val="0"/>
            <w:vAlign w:val="center"/>
          </w:tcPr>
          <w:p>
            <w:pPr>
              <w:pStyle w:val="12"/>
            </w:pPr>
            <w:r>
              <w:t>非财政    拨款结    转结余</w:t>
            </w:r>
          </w:p>
        </w:tc>
        <w:tc>
          <w:tcPr>
            <w:tcW w:w="964" w:type="dxa"/>
            <w:vMerge w:val="continue"/>
            <w:noWrap w:val="0"/>
            <w:vAlign w:val="top"/>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noWrap w:val="0"/>
            <w:vAlign w:val="center"/>
          </w:tcPr>
          <w:p>
            <w:pPr>
              <w:pStyle w:val="13"/>
              <w:rPr>
                <w:lang w:eastAsia="zh-CN"/>
              </w:rPr>
            </w:pPr>
          </w:p>
        </w:tc>
        <w:tc>
          <w:tcPr>
            <w:tcW w:w="964" w:type="dxa"/>
            <w:noWrap w:val="0"/>
            <w:vAlign w:val="center"/>
          </w:tcPr>
          <w:p>
            <w:pPr>
              <w:pStyle w:val="14"/>
              <w:rPr>
                <w:lang w:eastAsia="zh-CN"/>
              </w:rPr>
            </w:pPr>
          </w:p>
        </w:tc>
        <w:tc>
          <w:tcPr>
            <w:tcW w:w="1134" w:type="dxa"/>
            <w:noWrap w:val="0"/>
            <w:vAlign w:val="center"/>
          </w:tcPr>
          <w:p>
            <w:pPr>
              <w:pStyle w:val="13"/>
              <w:rPr>
                <w:lang w:eastAsia="zh-CN"/>
              </w:rPr>
            </w:pPr>
          </w:p>
        </w:tc>
        <w:tc>
          <w:tcPr>
            <w:tcW w:w="1134" w:type="dxa"/>
            <w:noWrap w:val="0"/>
            <w:vAlign w:val="center"/>
          </w:tcPr>
          <w:p>
            <w:pPr>
              <w:pStyle w:val="13"/>
            </w:pPr>
          </w:p>
        </w:tc>
        <w:tc>
          <w:tcPr>
            <w:tcW w:w="709" w:type="dxa"/>
            <w:noWrap w:val="0"/>
            <w:vAlign w:val="center"/>
          </w:tcPr>
          <w:p>
            <w:pPr>
              <w:pStyle w:val="15"/>
              <w:rPr>
                <w:lang w:eastAsia="zh-CN"/>
              </w:rPr>
            </w:pPr>
          </w:p>
        </w:tc>
        <w:tc>
          <w:tcPr>
            <w:tcW w:w="850" w:type="dxa"/>
            <w:noWrap w:val="0"/>
            <w:vAlign w:val="center"/>
          </w:tcPr>
          <w:p>
            <w:pPr>
              <w:pStyle w:val="14"/>
              <w:jc w:val="center"/>
              <w:rPr>
                <w:lang w:eastAsia="zh-CN"/>
              </w:rPr>
            </w:pPr>
          </w:p>
        </w:tc>
        <w:tc>
          <w:tcPr>
            <w:tcW w:w="850" w:type="dxa"/>
            <w:noWrap w:val="0"/>
            <w:vAlign w:val="center"/>
          </w:tcPr>
          <w:p>
            <w:pPr>
              <w:pStyle w:val="14"/>
              <w:rPr>
                <w:lang w:eastAsia="zh-CN"/>
              </w:rPr>
            </w:pPr>
          </w:p>
        </w:tc>
        <w:tc>
          <w:tcPr>
            <w:tcW w:w="964" w:type="dxa"/>
            <w:noWrap w:val="0"/>
            <w:vAlign w:val="center"/>
          </w:tcPr>
          <w:p>
            <w:pPr>
              <w:pStyle w:val="14"/>
            </w:pPr>
          </w:p>
        </w:tc>
        <w:tc>
          <w:tcPr>
            <w:tcW w:w="964" w:type="dxa"/>
            <w:noWrap w:val="0"/>
            <w:vAlign w:val="center"/>
          </w:tcPr>
          <w:p>
            <w:pPr>
              <w:pStyle w:val="14"/>
              <w:rPr>
                <w:lang w:eastAsia="zh-CN"/>
              </w:rPr>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rPr>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noWrap w:val="0"/>
            <w:vAlign w:val="center"/>
          </w:tcPr>
          <w:p>
            <w:pPr>
              <w:pStyle w:val="13"/>
              <w:rPr>
                <w:lang w:eastAsia="zh-CN"/>
              </w:rPr>
            </w:pPr>
          </w:p>
        </w:tc>
        <w:tc>
          <w:tcPr>
            <w:tcW w:w="964" w:type="dxa"/>
            <w:noWrap w:val="0"/>
            <w:vAlign w:val="center"/>
          </w:tcPr>
          <w:p>
            <w:pPr>
              <w:pStyle w:val="14"/>
            </w:pPr>
          </w:p>
        </w:tc>
        <w:tc>
          <w:tcPr>
            <w:tcW w:w="1134" w:type="dxa"/>
            <w:noWrap w:val="0"/>
            <w:vAlign w:val="center"/>
          </w:tcPr>
          <w:p>
            <w:pPr>
              <w:pStyle w:val="13"/>
              <w:rPr>
                <w:lang w:eastAsia="zh-CN"/>
              </w:rPr>
            </w:pPr>
          </w:p>
        </w:tc>
        <w:tc>
          <w:tcPr>
            <w:tcW w:w="1134" w:type="dxa"/>
            <w:noWrap w:val="0"/>
            <w:vAlign w:val="center"/>
          </w:tcPr>
          <w:p>
            <w:pPr>
              <w:pStyle w:val="13"/>
            </w:pPr>
          </w:p>
        </w:tc>
        <w:tc>
          <w:tcPr>
            <w:tcW w:w="709" w:type="dxa"/>
            <w:noWrap w:val="0"/>
            <w:vAlign w:val="center"/>
          </w:tcPr>
          <w:p>
            <w:pPr>
              <w:pStyle w:val="15"/>
              <w:rPr>
                <w:lang w:eastAsia="zh-CN"/>
              </w:rPr>
            </w:pPr>
          </w:p>
        </w:tc>
        <w:tc>
          <w:tcPr>
            <w:tcW w:w="850" w:type="dxa"/>
            <w:noWrap w:val="0"/>
            <w:vAlign w:val="center"/>
          </w:tcPr>
          <w:p>
            <w:pPr>
              <w:pStyle w:val="14"/>
              <w:rPr>
                <w:lang w:eastAsia="zh-CN"/>
              </w:rPr>
            </w:pPr>
          </w:p>
        </w:tc>
        <w:tc>
          <w:tcPr>
            <w:tcW w:w="850" w:type="dxa"/>
            <w:noWrap w:val="0"/>
            <w:vAlign w:val="center"/>
          </w:tcPr>
          <w:p>
            <w:pPr>
              <w:pStyle w:val="14"/>
              <w:rPr>
                <w:lang w:eastAsia="zh-CN"/>
              </w:rPr>
            </w:pPr>
          </w:p>
        </w:tc>
        <w:tc>
          <w:tcPr>
            <w:tcW w:w="964" w:type="dxa"/>
            <w:noWrap w:val="0"/>
            <w:vAlign w:val="center"/>
          </w:tcPr>
          <w:p>
            <w:pPr>
              <w:pStyle w:val="14"/>
            </w:pPr>
          </w:p>
        </w:tc>
        <w:tc>
          <w:tcPr>
            <w:tcW w:w="964" w:type="dxa"/>
            <w:noWrap w:val="0"/>
            <w:vAlign w:val="center"/>
          </w:tcPr>
          <w:p>
            <w:pPr>
              <w:pStyle w:val="14"/>
              <w:rPr>
                <w:lang w:eastAsia="zh-CN"/>
              </w:rPr>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pPr>
          </w:p>
        </w:tc>
        <w:tc>
          <w:tcPr>
            <w:tcW w:w="964" w:type="dxa"/>
            <w:noWrap w:val="0"/>
            <w:vAlign w:val="center"/>
          </w:tcPr>
          <w:p>
            <w:pPr>
              <w:pStyle w:val="14"/>
              <w:rPr>
                <w:lang w:eastAsia="zh-CN"/>
              </w:rPr>
            </w:pPr>
          </w:p>
        </w:tc>
      </w:tr>
    </w:tbl>
    <w:p>
      <w:pPr>
        <w:spacing w:line="500" w:lineRule="exact"/>
        <w:ind w:firstLine="420"/>
        <w:rPr>
          <w:rFonts w:hint="eastAsia" w:eastAsia="方正书宋_GBK"/>
          <w:lang w:eastAsia="zh-CN"/>
        </w:rPr>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r>
        <w:rPr>
          <w:rFonts w:hint="eastAsia" w:ascii="方正书宋_GBK" w:hAnsi="方正书宋_GBK" w:eastAsia="方正书宋_GBK" w:cs="方正书宋_GBK"/>
          <w:color w:val="000000"/>
          <w:sz w:val="21"/>
          <w:lang w:eastAsia="zh-CN"/>
        </w:rPr>
        <w:t>本年度部门预算年初无政府采购计划，以空表列示。</w:t>
      </w:r>
    </w:p>
    <w:p>
      <w:pPr>
        <w:widowControl/>
        <w:shd w:val="clear" w:color="auto" w:fill="FFFFFF"/>
        <w:spacing w:line="580" w:lineRule="exact"/>
        <w:ind w:firstLine="640" w:firstLineChars="200"/>
        <w:jc w:val="left"/>
        <w:rPr>
          <w:rFonts w:hint="eastAsia" w:ascii="宋体" w:hAnsi="宋体" w:cs="宋体"/>
          <w:kern w:val="0"/>
          <w:sz w:val="32"/>
          <w:szCs w:val="32"/>
          <w:lang w:eastAsia="zh-CN"/>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七、国有资产信息情况</w:t>
      </w:r>
    </w:p>
    <w:p>
      <w:pPr>
        <w:widowControl/>
        <w:shd w:val="clear" w:color="auto" w:fill="FFFFFF"/>
        <w:spacing w:line="580" w:lineRule="exact"/>
        <w:ind w:firstLine="640" w:firstLineChars="200"/>
        <w:jc w:val="left"/>
        <w:rPr>
          <w:rFonts w:ascii="宋体" w:hAnsi="宋体"/>
          <w:b/>
          <w:color w:val="0000FF"/>
          <w:sz w:val="32"/>
          <w:szCs w:val="32"/>
        </w:rPr>
      </w:pPr>
      <w:r>
        <w:rPr>
          <w:rFonts w:hint="eastAsia" w:ascii="仿宋_GB2312" w:hAnsi="Times New Roman" w:eastAsia="仿宋_GB2312"/>
          <w:kern w:val="0"/>
          <w:sz w:val="32"/>
          <w:szCs w:val="32"/>
        </w:rPr>
        <w:t>我院上年末固定</w:t>
      </w:r>
      <w:r>
        <w:rPr>
          <w:rFonts w:hint="eastAsia" w:ascii="仿宋_GB2312" w:hAnsi="Times New Roman" w:eastAsia="仿宋_GB2312"/>
          <w:color w:val="auto"/>
          <w:kern w:val="0"/>
          <w:sz w:val="32"/>
          <w:szCs w:val="32"/>
        </w:rPr>
        <w:t>资产</w:t>
      </w:r>
      <w:r>
        <w:rPr>
          <w:rFonts w:hint="eastAsia" w:ascii="仿宋_GB2312" w:hAnsi="Times New Roman" w:eastAsia="仿宋_GB2312"/>
          <w:color w:val="auto"/>
          <w:kern w:val="0"/>
          <w:sz w:val="32"/>
          <w:szCs w:val="32"/>
          <w:lang w:val="en-US" w:eastAsia="zh-CN"/>
        </w:rPr>
        <w:t>3231.97</w:t>
      </w:r>
      <w:r>
        <w:rPr>
          <w:rFonts w:hint="eastAsia" w:ascii="仿宋_GB2312" w:hAnsi="Times New Roman" w:eastAsia="仿宋_GB2312"/>
          <w:color w:val="auto"/>
          <w:kern w:val="0"/>
          <w:sz w:val="32"/>
          <w:szCs w:val="32"/>
        </w:rPr>
        <w:t>万元</w:t>
      </w:r>
      <w:r>
        <w:rPr>
          <w:rFonts w:hint="eastAsia" w:ascii="仿宋_GB2312" w:hAnsi="Times New Roman" w:eastAsia="仿宋_GB2312"/>
          <w:color w:val="auto"/>
          <w:kern w:val="0"/>
          <w:sz w:val="32"/>
          <w:szCs w:val="32"/>
          <w:lang w:eastAsia="zh-CN"/>
        </w:rPr>
        <w:t>，</w:t>
      </w:r>
      <w:r>
        <w:rPr>
          <w:rFonts w:hint="eastAsia" w:ascii="仿宋_GB2312" w:hAnsi="Times New Roman" w:eastAsia="仿宋_GB2312"/>
          <w:color w:val="auto"/>
          <w:kern w:val="0"/>
          <w:sz w:val="32"/>
          <w:szCs w:val="32"/>
        </w:rPr>
        <w:t>其中：房屋面积9152平方米，价值1126.46万元；汽车21辆，价值531.36万元；其他固定资产价值1</w:t>
      </w:r>
      <w:r>
        <w:rPr>
          <w:rFonts w:hint="eastAsia" w:ascii="仿宋_GB2312" w:hAnsi="Times New Roman" w:eastAsia="仿宋_GB2312"/>
          <w:color w:val="auto"/>
          <w:kern w:val="0"/>
          <w:sz w:val="32"/>
          <w:szCs w:val="32"/>
          <w:lang w:val="en-US" w:eastAsia="zh-CN"/>
        </w:rPr>
        <w:t>574.15</w:t>
      </w:r>
      <w:r>
        <w:rPr>
          <w:rFonts w:hint="eastAsia" w:ascii="仿宋_GB2312" w:hAnsi="Times New Roman" w:eastAsia="仿宋_GB2312"/>
          <w:color w:val="auto"/>
          <w:kern w:val="0"/>
          <w:sz w:val="32"/>
          <w:szCs w:val="32"/>
        </w:rPr>
        <w:t>万元。本年度</w:t>
      </w:r>
      <w:r>
        <w:rPr>
          <w:rFonts w:hint="eastAsia" w:ascii="仿宋_GB2312" w:hAnsi="Times New Roman" w:eastAsia="仿宋_GB2312"/>
          <w:color w:val="auto"/>
          <w:kern w:val="0"/>
          <w:sz w:val="32"/>
          <w:szCs w:val="32"/>
          <w:lang w:eastAsia="zh-CN"/>
        </w:rPr>
        <w:t>计划</w:t>
      </w:r>
      <w:r>
        <w:rPr>
          <w:rFonts w:hint="eastAsia" w:ascii="仿宋_GB2312" w:hAnsi="Times New Roman" w:eastAsia="仿宋_GB2312"/>
          <w:color w:val="auto"/>
          <w:kern w:val="0"/>
          <w:sz w:val="32"/>
          <w:szCs w:val="32"/>
        </w:rPr>
        <w:t>购置</w:t>
      </w:r>
      <w:r>
        <w:rPr>
          <w:rFonts w:hint="eastAsia" w:ascii="仿宋_GB2312" w:hAnsi="Times New Roman" w:eastAsia="仿宋_GB2312"/>
          <w:color w:val="auto"/>
          <w:kern w:val="0"/>
          <w:sz w:val="32"/>
          <w:szCs w:val="32"/>
          <w:lang w:eastAsia="zh-CN"/>
        </w:rPr>
        <w:t>囚车</w:t>
      </w:r>
      <w:r>
        <w:rPr>
          <w:rFonts w:hint="eastAsia" w:ascii="仿宋_GB2312" w:hAnsi="Times New Roman" w:eastAsia="仿宋_GB2312"/>
          <w:color w:val="auto"/>
          <w:kern w:val="0"/>
          <w:sz w:val="32"/>
          <w:szCs w:val="32"/>
          <w:lang w:val="en-US" w:eastAsia="zh-CN"/>
        </w:rPr>
        <w:t>1辆，执法执勤车辆4辆</w:t>
      </w:r>
      <w:r>
        <w:rPr>
          <w:rFonts w:hint="eastAsia" w:ascii="仿宋_GB2312" w:hAnsi="Times New Roman" w:eastAsia="仿宋_GB2312"/>
          <w:color w:val="auto"/>
          <w:kern w:val="0"/>
          <w:sz w:val="32"/>
          <w:szCs w:val="32"/>
        </w:rPr>
        <w:t>。</w:t>
      </w:r>
    </w:p>
    <w:p>
      <w:pPr>
        <w:jc w:val="center"/>
        <w:rPr>
          <w:rFonts w:hint="eastAsia" w:ascii="宋体" w:hAnsi="宋体"/>
          <w:b/>
          <w:sz w:val="32"/>
          <w:szCs w:val="32"/>
        </w:rPr>
      </w:pPr>
    </w:p>
    <w:p>
      <w:pPr>
        <w:jc w:val="center"/>
        <w:rPr>
          <w:rFonts w:ascii="宋体" w:hAnsi="宋体"/>
          <w:b/>
          <w:sz w:val="32"/>
          <w:szCs w:val="32"/>
        </w:rPr>
      </w:pPr>
      <w:r>
        <w:rPr>
          <w:rFonts w:hint="eastAsia" w:ascii="宋体" w:hAnsi="宋体"/>
          <w:b/>
          <w:sz w:val="32"/>
          <w:szCs w:val="32"/>
        </w:rPr>
        <w:t>固定资产占用情况表</w:t>
      </w:r>
    </w:p>
    <w:p>
      <w:pPr>
        <w:ind w:firstLine="360" w:firstLineChars="200"/>
        <w:jc w:val="center"/>
        <w:rPr>
          <w:rFonts w:ascii="宋体" w:hAnsi="宋体"/>
          <w:sz w:val="18"/>
          <w:szCs w:val="18"/>
        </w:rPr>
      </w:pPr>
      <w:r>
        <w:rPr>
          <w:rFonts w:hint="eastAsia" w:ascii="宋体" w:hAnsi="宋体"/>
          <w:sz w:val="18"/>
          <w:szCs w:val="18"/>
        </w:rPr>
        <w:t xml:space="preserve">                                                              截止时间：20</w:t>
      </w:r>
      <w:r>
        <w:rPr>
          <w:rFonts w:hint="eastAsia" w:ascii="宋体" w:hAnsi="宋体"/>
          <w:sz w:val="18"/>
          <w:szCs w:val="18"/>
          <w:lang w:val="en-US" w:eastAsia="zh-CN"/>
        </w:rPr>
        <w:t>20</w:t>
      </w:r>
      <w:r>
        <w:rPr>
          <w:rFonts w:hint="eastAsia" w:ascii="宋体" w:hAnsi="宋体"/>
          <w:sz w:val="18"/>
          <w:szCs w:val="18"/>
        </w:rPr>
        <w:t>年12月31日</w:t>
      </w:r>
    </w:p>
    <w:p>
      <w:pPr>
        <w:ind w:firstLine="360" w:firstLineChars="200"/>
        <w:jc w:val="center"/>
        <w:rPr>
          <w:rFonts w:ascii="宋体" w:hAnsi="宋体"/>
          <w:sz w:val="18"/>
          <w:szCs w:val="18"/>
        </w:rPr>
      </w:pPr>
    </w:p>
    <w:tbl>
      <w:tblPr>
        <w:tblStyle w:val="5"/>
        <w:tblW w:w="8516" w:type="dxa"/>
        <w:tblInd w:w="26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3"/>
        <w:gridCol w:w="1065"/>
        <w:gridCol w:w="2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053" w:type="dxa"/>
            <w:noWrap w:val="0"/>
            <w:vAlign w:val="top"/>
          </w:tcPr>
          <w:p>
            <w:pPr>
              <w:jc w:val="center"/>
              <w:rPr>
                <w:rFonts w:ascii="宋体" w:hAnsi="宋体" w:eastAsia="宋体" w:cs="Times New Roman"/>
                <w:sz w:val="18"/>
                <w:szCs w:val="18"/>
              </w:rPr>
            </w:pPr>
            <w:r>
              <w:rPr>
                <w:rFonts w:hint="eastAsia" w:ascii="宋体" w:hAnsi="宋体" w:eastAsia="宋体" w:cs="Arial"/>
                <w:kern w:val="0"/>
                <w:sz w:val="22"/>
              </w:rPr>
              <w:t>项目</w:t>
            </w:r>
          </w:p>
        </w:tc>
        <w:tc>
          <w:tcPr>
            <w:tcW w:w="1065" w:type="dxa"/>
            <w:noWrap w:val="0"/>
            <w:vAlign w:val="top"/>
          </w:tcPr>
          <w:p>
            <w:pPr>
              <w:jc w:val="center"/>
              <w:rPr>
                <w:rFonts w:ascii="宋体" w:hAnsi="宋体" w:eastAsia="宋体" w:cs="Times New Roman"/>
                <w:sz w:val="18"/>
                <w:szCs w:val="18"/>
              </w:rPr>
            </w:pPr>
            <w:r>
              <w:rPr>
                <w:rFonts w:hint="eastAsia" w:ascii="宋体" w:hAnsi="宋体" w:eastAsia="宋体" w:cs="Arial"/>
                <w:kern w:val="0"/>
                <w:sz w:val="22"/>
              </w:rPr>
              <w:t>数量</w:t>
            </w:r>
          </w:p>
        </w:tc>
        <w:tc>
          <w:tcPr>
            <w:tcW w:w="2398" w:type="dxa"/>
            <w:noWrap w:val="0"/>
            <w:vAlign w:val="top"/>
          </w:tcPr>
          <w:p>
            <w:pPr>
              <w:jc w:val="center"/>
              <w:rPr>
                <w:rFonts w:ascii="宋体" w:hAnsi="宋体" w:eastAsia="宋体" w:cs="Times New Roman"/>
                <w:sz w:val="18"/>
                <w:szCs w:val="18"/>
              </w:rPr>
            </w:pPr>
            <w:r>
              <w:rPr>
                <w:rFonts w:hint="eastAsia" w:ascii="宋体" w:hAnsi="宋体" w:eastAsia="宋体" w:cs="Arial"/>
                <w:kern w:val="0"/>
                <w:sz w:val="22"/>
              </w:rPr>
              <w:t>价值(单位:万元)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jc w:val="center"/>
              <w:rPr>
                <w:rFonts w:ascii="宋体" w:hAnsi="宋体" w:eastAsia="宋体" w:cs="Times New Roman"/>
                <w:sz w:val="18"/>
                <w:szCs w:val="18"/>
              </w:rPr>
            </w:pPr>
            <w:r>
              <w:rPr>
                <w:rFonts w:hint="eastAsia" w:ascii="宋体" w:hAnsi="宋体" w:eastAsia="宋体" w:cs="Arial"/>
                <w:kern w:val="0"/>
                <w:sz w:val="22"/>
              </w:rPr>
              <w:t>资产总额</w:t>
            </w:r>
          </w:p>
        </w:tc>
        <w:tc>
          <w:tcPr>
            <w:tcW w:w="1065" w:type="dxa"/>
            <w:noWrap w:val="0"/>
            <w:vAlign w:val="top"/>
          </w:tcPr>
          <w:p>
            <w:pPr>
              <w:jc w:val="center"/>
              <w:rPr>
                <w:rFonts w:ascii="宋体" w:hAnsi="宋体" w:eastAsia="宋体" w:cs="Times New Roman"/>
                <w:sz w:val="18"/>
                <w:szCs w:val="18"/>
              </w:rPr>
            </w:pPr>
          </w:p>
        </w:tc>
        <w:tc>
          <w:tcPr>
            <w:tcW w:w="2398" w:type="dxa"/>
            <w:noWrap w:val="0"/>
            <w:vAlign w:val="top"/>
          </w:tcPr>
          <w:p>
            <w:pPr>
              <w:jc w:val="center"/>
              <w:rPr>
                <w:rFonts w:hint="default" w:ascii="宋体" w:hAnsi="宋体" w:eastAsia="宋体" w:cs="Times New Roman"/>
                <w:sz w:val="18"/>
                <w:szCs w:val="18"/>
                <w:lang w:val="en-US" w:eastAsia="zh-CN"/>
              </w:rPr>
            </w:pPr>
            <w:r>
              <w:rPr>
                <w:rFonts w:hint="eastAsia" w:ascii="宋体" w:hAnsi="宋体" w:cs="Times New Roman"/>
                <w:sz w:val="18"/>
                <w:szCs w:val="18"/>
                <w:lang w:val="en-US" w:eastAsia="zh-CN"/>
              </w:rPr>
              <w:t>3231.97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ind w:firstLine="220" w:firstLineChars="100"/>
              <w:jc w:val="left"/>
              <w:rPr>
                <w:rFonts w:ascii="宋体" w:hAnsi="宋体" w:eastAsia="宋体" w:cs="Times New Roman"/>
                <w:sz w:val="18"/>
                <w:szCs w:val="18"/>
              </w:rPr>
            </w:pPr>
            <w:r>
              <w:rPr>
                <w:rFonts w:hint="eastAsia" w:ascii="宋体" w:hAnsi="宋体" w:eastAsia="宋体" w:cs="Arial"/>
                <w:kern w:val="0"/>
                <w:sz w:val="22"/>
              </w:rPr>
              <w:t xml:space="preserve"> 1、房屋（平方米）</w:t>
            </w:r>
          </w:p>
        </w:tc>
        <w:tc>
          <w:tcPr>
            <w:tcW w:w="1065" w:type="dxa"/>
            <w:noWrap w:val="0"/>
            <w:vAlign w:val="top"/>
          </w:tcPr>
          <w:p>
            <w:pPr>
              <w:jc w:val="center"/>
              <w:rPr>
                <w:rFonts w:ascii="宋体" w:hAnsi="宋体" w:eastAsia="宋体" w:cs="Times New Roman"/>
                <w:sz w:val="18"/>
                <w:szCs w:val="18"/>
              </w:rPr>
            </w:pPr>
          </w:p>
        </w:tc>
        <w:tc>
          <w:tcPr>
            <w:tcW w:w="2398" w:type="dxa"/>
            <w:noWrap w:val="0"/>
            <w:vAlign w:val="top"/>
          </w:tcPr>
          <w:p>
            <w:pPr>
              <w:jc w:val="center"/>
              <w:rPr>
                <w:rFonts w:ascii="宋体" w:hAnsi="宋体" w:eastAsia="宋体" w:cs="Times New Roman"/>
                <w:sz w:val="18"/>
                <w:szCs w:val="18"/>
              </w:rPr>
            </w:pPr>
            <w:r>
              <w:rPr>
                <w:rFonts w:hint="eastAsia" w:ascii="宋体" w:hAnsi="宋体" w:eastAsia="宋体" w:cs="Times New Roman"/>
                <w:sz w:val="18"/>
                <w:szCs w:val="18"/>
              </w:rPr>
              <w:t>1126.46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ind w:firstLine="880" w:firstLineChars="400"/>
              <w:jc w:val="left"/>
              <w:rPr>
                <w:rFonts w:ascii="宋体" w:hAnsi="宋体" w:eastAsia="宋体" w:cs="Times New Roman"/>
                <w:sz w:val="18"/>
                <w:szCs w:val="18"/>
              </w:rPr>
            </w:pPr>
            <w:r>
              <w:rPr>
                <w:rFonts w:hint="eastAsia" w:ascii="宋体" w:hAnsi="宋体" w:eastAsia="宋体" w:cs="Arial"/>
                <w:kern w:val="0"/>
                <w:sz w:val="22"/>
              </w:rPr>
              <w:t>其中：办公用房（平方米)</w:t>
            </w:r>
          </w:p>
        </w:tc>
        <w:tc>
          <w:tcPr>
            <w:tcW w:w="1065" w:type="dxa"/>
            <w:noWrap w:val="0"/>
            <w:vAlign w:val="top"/>
          </w:tcPr>
          <w:p>
            <w:pPr>
              <w:jc w:val="center"/>
              <w:rPr>
                <w:rFonts w:ascii="宋体" w:hAnsi="宋体" w:eastAsia="宋体" w:cs="Times New Roman"/>
                <w:sz w:val="18"/>
                <w:szCs w:val="18"/>
              </w:rPr>
            </w:pPr>
            <w:r>
              <w:rPr>
                <w:rFonts w:hint="eastAsia" w:ascii="宋体" w:hAnsi="宋体" w:eastAsia="宋体" w:cs="Times New Roman"/>
                <w:sz w:val="18"/>
                <w:szCs w:val="18"/>
              </w:rPr>
              <w:t>9152</w:t>
            </w:r>
          </w:p>
        </w:tc>
        <w:tc>
          <w:tcPr>
            <w:tcW w:w="2398" w:type="dxa"/>
            <w:noWrap w:val="0"/>
            <w:vAlign w:val="top"/>
          </w:tcPr>
          <w:p>
            <w:pPr>
              <w:jc w:val="center"/>
              <w:rPr>
                <w:rFonts w:ascii="宋体" w:hAnsi="宋体" w:eastAsia="宋体" w:cs="Times New Roman"/>
                <w:sz w:val="18"/>
                <w:szCs w:val="18"/>
              </w:rPr>
            </w:pPr>
            <w:r>
              <w:rPr>
                <w:rFonts w:hint="eastAsia" w:ascii="宋体" w:hAnsi="宋体" w:eastAsia="宋体" w:cs="Times New Roman"/>
                <w:sz w:val="18"/>
                <w:szCs w:val="18"/>
              </w:rPr>
              <w:t>1126.46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ind w:firstLine="330" w:firstLineChars="150"/>
              <w:jc w:val="left"/>
              <w:rPr>
                <w:rFonts w:ascii="宋体" w:hAnsi="宋体" w:eastAsia="宋体" w:cs="Times New Roman"/>
                <w:sz w:val="18"/>
                <w:szCs w:val="18"/>
              </w:rPr>
            </w:pPr>
            <w:r>
              <w:rPr>
                <w:rFonts w:hint="eastAsia" w:ascii="宋体" w:hAnsi="宋体" w:eastAsia="宋体" w:cs="Arial"/>
                <w:kern w:val="0"/>
                <w:sz w:val="22"/>
              </w:rPr>
              <w:t>2、车辆（台、辆）</w:t>
            </w:r>
          </w:p>
        </w:tc>
        <w:tc>
          <w:tcPr>
            <w:tcW w:w="1065" w:type="dxa"/>
            <w:noWrap w:val="0"/>
            <w:vAlign w:val="top"/>
          </w:tcPr>
          <w:p>
            <w:pPr>
              <w:jc w:val="center"/>
              <w:rPr>
                <w:rFonts w:ascii="宋体" w:hAnsi="宋体" w:eastAsia="宋体" w:cs="Times New Roman"/>
                <w:sz w:val="18"/>
                <w:szCs w:val="18"/>
              </w:rPr>
            </w:pPr>
            <w:r>
              <w:rPr>
                <w:rFonts w:hint="eastAsia" w:ascii="宋体" w:hAnsi="宋体" w:eastAsia="宋体" w:cs="Times New Roman"/>
                <w:sz w:val="18"/>
                <w:szCs w:val="18"/>
              </w:rPr>
              <w:t>21</w:t>
            </w:r>
          </w:p>
        </w:tc>
        <w:tc>
          <w:tcPr>
            <w:tcW w:w="2398" w:type="dxa"/>
            <w:noWrap w:val="0"/>
            <w:vAlign w:val="top"/>
          </w:tcPr>
          <w:p>
            <w:pPr>
              <w:jc w:val="center"/>
              <w:rPr>
                <w:rFonts w:ascii="宋体" w:hAnsi="宋体" w:eastAsia="宋体" w:cs="Times New Roman"/>
                <w:sz w:val="18"/>
                <w:szCs w:val="18"/>
              </w:rPr>
            </w:pPr>
            <w:r>
              <w:rPr>
                <w:rFonts w:hint="eastAsia" w:ascii="宋体" w:hAnsi="宋体" w:eastAsia="宋体" w:cs="Times New Roman"/>
                <w:sz w:val="18"/>
                <w:szCs w:val="18"/>
              </w:rPr>
              <w:t>531.36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ind w:firstLine="330" w:firstLineChars="150"/>
              <w:jc w:val="left"/>
              <w:rPr>
                <w:rFonts w:ascii="宋体" w:hAnsi="宋体" w:eastAsia="宋体" w:cs="Times New Roman"/>
                <w:sz w:val="18"/>
                <w:szCs w:val="18"/>
              </w:rPr>
            </w:pPr>
            <w:r>
              <w:rPr>
                <w:rFonts w:hint="eastAsia" w:ascii="宋体" w:hAnsi="宋体" w:eastAsia="宋体" w:cs="Arial"/>
                <w:kern w:val="0"/>
                <w:sz w:val="22"/>
              </w:rPr>
              <w:t>3、单价在20万元以上的设备（台、套…）</w:t>
            </w:r>
          </w:p>
        </w:tc>
        <w:tc>
          <w:tcPr>
            <w:tcW w:w="1065" w:type="dxa"/>
            <w:noWrap w:val="0"/>
            <w:vAlign w:val="top"/>
          </w:tcPr>
          <w:p>
            <w:pPr>
              <w:jc w:val="center"/>
              <w:rPr>
                <w:rFonts w:ascii="宋体" w:hAnsi="宋体" w:eastAsia="宋体" w:cs="Times New Roman"/>
                <w:sz w:val="18"/>
                <w:szCs w:val="18"/>
              </w:rPr>
            </w:pPr>
          </w:p>
        </w:tc>
        <w:tc>
          <w:tcPr>
            <w:tcW w:w="2398" w:type="dxa"/>
            <w:noWrap w:val="0"/>
            <w:vAlign w:val="top"/>
          </w:tcPr>
          <w:p>
            <w:pPr>
              <w:jc w:val="center"/>
              <w:rPr>
                <w:rFonts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3" w:type="dxa"/>
            <w:noWrap w:val="0"/>
            <w:vAlign w:val="top"/>
          </w:tcPr>
          <w:p>
            <w:pPr>
              <w:ind w:firstLine="330" w:firstLineChars="150"/>
              <w:jc w:val="left"/>
              <w:rPr>
                <w:rFonts w:ascii="宋体" w:hAnsi="宋体" w:eastAsia="宋体" w:cs="Times New Roman"/>
                <w:sz w:val="18"/>
                <w:szCs w:val="18"/>
              </w:rPr>
            </w:pPr>
            <w:r>
              <w:rPr>
                <w:rFonts w:hint="eastAsia" w:ascii="宋体" w:hAnsi="宋体" w:eastAsia="宋体" w:cs="Arial"/>
                <w:kern w:val="0"/>
                <w:sz w:val="22"/>
              </w:rPr>
              <w:t>4、其他固定资产</w:t>
            </w:r>
          </w:p>
        </w:tc>
        <w:tc>
          <w:tcPr>
            <w:tcW w:w="1065" w:type="dxa"/>
            <w:noWrap w:val="0"/>
            <w:vAlign w:val="top"/>
          </w:tcPr>
          <w:p>
            <w:pPr>
              <w:jc w:val="center"/>
              <w:rPr>
                <w:rFonts w:ascii="宋体" w:hAnsi="宋体" w:eastAsia="宋体" w:cs="Times New Roman"/>
                <w:sz w:val="18"/>
                <w:szCs w:val="18"/>
              </w:rPr>
            </w:pPr>
          </w:p>
        </w:tc>
        <w:tc>
          <w:tcPr>
            <w:tcW w:w="2398" w:type="dxa"/>
            <w:noWrap w:val="0"/>
            <w:vAlign w:val="top"/>
          </w:tcPr>
          <w:p>
            <w:pPr>
              <w:jc w:val="center"/>
              <w:rPr>
                <w:rFonts w:hint="default" w:ascii="宋体" w:hAnsi="宋体" w:eastAsia="宋体" w:cs="Times New Roman"/>
                <w:sz w:val="18"/>
                <w:szCs w:val="18"/>
                <w:lang w:val="en-US" w:eastAsia="zh-CN"/>
              </w:rPr>
            </w:pPr>
            <w:r>
              <w:rPr>
                <w:rFonts w:hint="eastAsia" w:ascii="宋体" w:hAnsi="宋体" w:cs="Times New Roman"/>
                <w:sz w:val="18"/>
                <w:szCs w:val="18"/>
                <w:lang w:val="en-US" w:eastAsia="zh-CN"/>
              </w:rPr>
              <w:t>1574.15</w:t>
            </w:r>
          </w:p>
        </w:tc>
      </w:tr>
    </w:tbl>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八、专业名词解释</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1、一般公共预算拨款收入：指省级财政当年拨付的资金。</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2、事业收入：指事业单位开展专业业务活动及辅助活动所取得的收入。</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3、其他收入：指除“一般公共预算拨款收入”、“事业收入”等以外的收入。主要是按规定动用的租房收入、存款利息收入等。</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4、基本支出：指为保障机构正常运转、完成日常工作任务而发生的人员支出和公用支出。</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5、项目支出：指在基本支出之外为完成特定行政任务和事业发展目标所发生的支出。</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6、上缴上级支出：指下级单位上缴上级的支出。</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9、上年结转：指以前年度尚未完成、结转到本年仍按原规定用途继续使用的资金。</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rPr>
        <w:t>10、事业单位经营支出：指事业单位在专业业务活动及其辅助活动之外开展非独立核算经营活动发生的支出</w:t>
      </w:r>
      <w:r>
        <w:rPr>
          <w:rFonts w:hint="eastAsia" w:ascii="仿宋_GB2312" w:hAnsi="Times New Roman" w:eastAsia="仿宋_GB2312"/>
          <w:kern w:val="0"/>
          <w:sz w:val="32"/>
          <w:szCs w:val="32"/>
          <w:lang w:eastAsia="zh-CN"/>
        </w:rPr>
        <w:t>。</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九、其他需说明的事项</w:t>
      </w:r>
    </w:p>
    <w:p>
      <w:pPr>
        <w:widowControl/>
        <w:spacing w:line="580" w:lineRule="atLeast"/>
        <w:ind w:firstLine="640"/>
        <w:jc w:val="left"/>
        <w:rPr>
          <w:rFonts w:ascii="仿宋" w:hAnsi="仿宋" w:eastAsia="仿宋" w:cs="仿宋"/>
          <w:sz w:val="32"/>
          <w:szCs w:val="32"/>
        </w:rPr>
      </w:pPr>
      <w:r>
        <w:rPr>
          <w:rFonts w:hint="eastAsia" w:ascii="仿宋" w:hAnsi="仿宋" w:eastAsia="仿宋" w:cs="仿宋"/>
          <w:sz w:val="32"/>
          <w:szCs w:val="32"/>
          <w:lang w:eastAsia="zh-CN"/>
        </w:rPr>
        <w:t>我</w:t>
      </w:r>
      <w:r>
        <w:rPr>
          <w:rFonts w:hint="eastAsia" w:ascii="仿宋" w:hAnsi="仿宋" w:eastAsia="仿宋" w:cs="仿宋"/>
          <w:sz w:val="32"/>
          <w:szCs w:val="32"/>
        </w:rPr>
        <w:t>单位没有政府性基金预算和国有资本经营预算。</w:t>
      </w:r>
    </w:p>
    <w:p>
      <w:pPr>
        <w:widowControl/>
        <w:spacing w:line="580" w:lineRule="atLeast"/>
        <w:ind w:firstLine="640"/>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宋体"/>
    <w:panose1 w:val="00000000000000000000"/>
    <w:charset w:val="86"/>
    <w:family w:val="roman"/>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40001" w:csb1="00000000"/>
  </w:font>
  <w:font w:name="方正小标宋_GBK">
    <w:altName w:val="微软雅黑"/>
    <w:panose1 w:val="00000000000000000000"/>
    <w:charset w:val="00"/>
    <w:family w:val="auto"/>
    <w:pitch w:val="default"/>
    <w:sig w:usb0="00000000" w:usb1="00000000" w:usb2="00000000" w:usb3="00000000" w:csb0="00040001" w:csb1="00000000"/>
  </w:font>
  <w:font w:name="方正书宋_GBK">
    <w:altName w:val="微软雅黑"/>
    <w:panose1 w:val="00000000000000000000"/>
    <w:charset w:val="00"/>
    <w:family w:val="auto"/>
    <w:pitch w:val="default"/>
    <w:sig w:usb0="00000000" w:usb1="00000000" w:usb2="00000000"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VlNThmMDg3MWQ0YjJmM2I3ODUyNTk3MTI1NTE2NTEifQ=="/>
  </w:docVars>
  <w:rsids>
    <w:rsidRoot w:val="006667C0"/>
    <w:rsid w:val="00086C7E"/>
    <w:rsid w:val="002A7B6A"/>
    <w:rsid w:val="00462846"/>
    <w:rsid w:val="005A014E"/>
    <w:rsid w:val="006667C0"/>
    <w:rsid w:val="006E27D7"/>
    <w:rsid w:val="00732991"/>
    <w:rsid w:val="007F3DDB"/>
    <w:rsid w:val="00875CC7"/>
    <w:rsid w:val="00A72AC0"/>
    <w:rsid w:val="00B02E85"/>
    <w:rsid w:val="00B876BF"/>
    <w:rsid w:val="00B9630C"/>
    <w:rsid w:val="00C37481"/>
    <w:rsid w:val="00C70B56"/>
    <w:rsid w:val="00CF605B"/>
    <w:rsid w:val="00D8145C"/>
    <w:rsid w:val="00E50F76"/>
    <w:rsid w:val="00EA60A4"/>
    <w:rsid w:val="00EE3631"/>
    <w:rsid w:val="00F74CCB"/>
    <w:rsid w:val="49FA64F8"/>
    <w:rsid w:val="7CAD06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10">
    <w:name w:val="单元格样式20"/>
    <w:basedOn w:val="1"/>
    <w:qFormat/>
    <w:uiPriority w:val="0"/>
    <w:rPr>
      <w:rFonts w:ascii="方正小标宋_GBK" w:hAnsi="方正小标宋_GBK" w:eastAsia="方正小标宋_GBK" w:cs="方正小标宋_GBK"/>
    </w:rPr>
  </w:style>
  <w:style w:type="paragraph" w:customStyle="1" w:styleId="11">
    <w:name w:val="单元格样式23"/>
    <w:basedOn w:val="1"/>
    <w:qFormat/>
    <w:uiPriority w:val="0"/>
    <w:pPr>
      <w:jc w:val="right"/>
    </w:pPr>
    <w:rPr>
      <w:rFonts w:ascii="方正书宋_GBK" w:hAnsi="方正书宋_GBK" w:eastAsia="方正书宋_GBK" w:cs="方正书宋_GBK"/>
    </w:rPr>
  </w:style>
  <w:style w:type="paragraph" w:customStyle="1" w:styleId="12">
    <w:name w:val="单元格样式1"/>
    <w:basedOn w:val="1"/>
    <w:qFormat/>
    <w:uiPriority w:val="0"/>
    <w:pPr>
      <w:jc w:val="center"/>
    </w:pPr>
    <w:rPr>
      <w:rFonts w:ascii="方正书宋_GBK" w:hAnsi="方正书宋_GBK" w:eastAsia="方正书宋_GBK" w:cs="方正书宋_GBK"/>
      <w:b/>
      <w:sz w:val="21"/>
    </w:rPr>
  </w:style>
  <w:style w:type="paragraph" w:customStyle="1" w:styleId="13">
    <w:name w:val="单元格样式2"/>
    <w:basedOn w:val="1"/>
    <w:qFormat/>
    <w:uiPriority w:val="0"/>
    <w:rPr>
      <w:rFonts w:ascii="方正书宋_GBK" w:hAnsi="方正书宋_GBK" w:eastAsia="方正书宋_GBK" w:cs="方正书宋_GBK"/>
      <w:sz w:val="21"/>
    </w:rPr>
  </w:style>
  <w:style w:type="paragraph" w:customStyle="1" w:styleId="14">
    <w:name w:val="单元格样式4"/>
    <w:basedOn w:val="1"/>
    <w:qFormat/>
    <w:uiPriority w:val="0"/>
    <w:pPr>
      <w:jc w:val="right"/>
    </w:pPr>
    <w:rPr>
      <w:rFonts w:ascii="方正书宋_GBK" w:hAnsi="方正书宋_GBK" w:eastAsia="方正书宋_GBK" w:cs="方正书宋_GBK"/>
      <w:sz w:val="21"/>
    </w:rPr>
  </w:style>
  <w:style w:type="paragraph" w:customStyle="1" w:styleId="15">
    <w:name w:val="单元格样式3"/>
    <w:basedOn w:val="1"/>
    <w:qFormat/>
    <w:uiPriority w:val="0"/>
    <w:pPr>
      <w:jc w:val="center"/>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2391</Words>
  <Characters>2605</Characters>
  <Lines>13</Lines>
  <Paragraphs>3</Paragraphs>
  <TotalTime>14</TotalTime>
  <ScaleCrop>false</ScaleCrop>
  <LinksUpToDate>false</LinksUpToDate>
  <CharactersWithSpaces>2681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Administrator</cp:lastModifiedBy>
  <dcterms:modified xsi:type="dcterms:W3CDTF">2022-07-08T02:45:50Z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7E6B2CB9448D4B369964162BD28C0A62</vt:lpwstr>
  </property>
</Properties>
</file>