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ascii="仿宋_GB2312" w:hAnsi="宋体" w:eastAsia="仿宋_GB2312" w:cs="宋体"/>
          <w:kern w:val="0"/>
          <w:sz w:val="44"/>
          <w:szCs w:val="44"/>
        </w:rPr>
      </w:pPr>
      <w:r>
        <w:rPr>
          <w:rFonts w:hint="eastAsia" w:ascii="仿宋" w:hAnsi="仿宋" w:eastAsia="仿宋" w:cs="仿宋"/>
          <w:sz w:val="44"/>
          <w:szCs w:val="44"/>
        </w:rPr>
        <w:t>2019年定州市人民法院</w:t>
      </w:r>
      <w:r>
        <w:rPr>
          <w:rFonts w:hint="eastAsia" w:ascii="仿宋_GB2312" w:hAnsi="宋体" w:eastAsia="仿宋_GB2312" w:cs="宋体"/>
          <w:kern w:val="0"/>
          <w:sz w:val="44"/>
          <w:szCs w:val="44"/>
        </w:rPr>
        <w:t>部门预算公开</w:t>
      </w:r>
    </w:p>
    <w:p>
      <w:pPr>
        <w:widowControl/>
        <w:spacing w:line="580" w:lineRule="atLeast"/>
        <w:jc w:val="center"/>
        <w:rPr>
          <w:rFonts w:ascii="仿宋_GB2312" w:hAnsi="宋体" w:eastAsia="仿宋_GB2312" w:cs="宋体"/>
          <w:kern w:val="0"/>
          <w:sz w:val="44"/>
          <w:szCs w:val="44"/>
        </w:rPr>
      </w:pPr>
      <w:r>
        <w:rPr>
          <w:rFonts w:hint="eastAsia" w:ascii="仿宋_GB2312" w:hAnsi="宋体" w:eastAsia="仿宋_GB2312" w:cs="宋体"/>
          <w:kern w:val="0"/>
          <w:sz w:val="44"/>
          <w:szCs w:val="44"/>
        </w:rPr>
        <w:t>有关事项的说明</w:t>
      </w:r>
    </w:p>
    <w:p>
      <w:pPr>
        <w:widowControl/>
        <w:spacing w:line="580" w:lineRule="atLeast"/>
        <w:jc w:val="center"/>
        <w:rPr>
          <w:rFonts w:ascii="仿宋_GB2312" w:hAnsi="宋体" w:eastAsia="仿宋_GB2312" w:cs="宋体"/>
          <w:kern w:val="0"/>
          <w:sz w:val="44"/>
          <w:szCs w:val="44"/>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一、部门职责、机构设置等基本情况</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Times New Roman" w:eastAsia="仿宋_GB2312"/>
          <w:kern w:val="0"/>
          <w:sz w:val="32"/>
          <w:szCs w:val="32"/>
        </w:rPr>
        <w:t>1</w:t>
      </w:r>
      <w:r>
        <w:rPr>
          <w:rFonts w:hint="eastAsia" w:ascii="仿宋_GB2312" w:hAnsi="宋体" w:eastAsia="仿宋_GB2312" w:cs="宋体"/>
          <w:kern w:val="0"/>
          <w:sz w:val="32"/>
          <w:szCs w:val="32"/>
        </w:rPr>
        <w:t>、部门职责</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定州市人民法院是国家审判机关，依法独立行使审判权，对市人民代表大会及其常务委员会负责并报告工作。主要职责是：</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 依法审判法律规定由基层人民法院管辖的刑事、民事、行政等第一审案件。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 依法受理不服本院生效裁判的各类申诉，对其中确有错误的进行再审。</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 依法审理上级法院指定管辖、指令再审的各类案件。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 依法审判由人民检察院按照审判监督程序提出的抗诉案件。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（五） 依法行使司法执行权和司法决定权。执行本院已经发生法律效力的判决、裁定和调解，市国家行政机关申请执行的非诉行政案件，外地法院委托执行的案件；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（六） 依法决定国家赔偿。</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（七） 在审判工作中宣传法制，教育公民自觉遵守宪法和法律。</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（八）承办其他应由本院负责的工作。</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Times New Roman" w:eastAsia="仿宋_GB2312"/>
          <w:kern w:val="0"/>
          <w:sz w:val="32"/>
          <w:szCs w:val="32"/>
        </w:rPr>
        <w:t>2</w:t>
      </w:r>
      <w:r>
        <w:rPr>
          <w:rFonts w:hint="eastAsia" w:ascii="仿宋_GB2312" w:hAnsi="宋体" w:eastAsia="仿宋_GB2312" w:cs="宋体"/>
          <w:kern w:val="0"/>
          <w:sz w:val="32"/>
          <w:szCs w:val="32"/>
        </w:rPr>
        <w:t>、机构设置</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定州市人民法院是全额拨款的国家行政机关。</w:t>
      </w:r>
    </w:p>
    <w:p>
      <w:pPr>
        <w:widowControl/>
        <w:shd w:val="clear" w:color="auto" w:fill="FFFFFF"/>
        <w:spacing w:line="580" w:lineRule="exact"/>
        <w:ind w:firstLine="640" w:firstLineChars="200"/>
        <w:jc w:val="left"/>
        <w:rPr>
          <w:rFonts w:ascii="仿宋_GB2312" w:hAnsi="宋体" w:eastAsia="仿宋_GB2312" w:cs="宋体"/>
          <w:color w:val="FF0000"/>
          <w:kern w:val="0"/>
          <w:sz w:val="32"/>
          <w:szCs w:val="32"/>
        </w:rPr>
      </w:pPr>
      <w:r>
        <w:rPr>
          <w:rFonts w:hint="eastAsia" w:ascii="仿宋_GB2312" w:hAnsi="宋体" w:eastAsia="仿宋_GB2312" w:cs="宋体"/>
          <w:kern w:val="0"/>
          <w:sz w:val="32"/>
          <w:szCs w:val="32"/>
        </w:rPr>
        <w:t>我院现设有36个科室，分别为：机关党委、纪检组、监察室、政治处、办公室、诉前调解中心、司法技术鉴定室、调研室、立案一庭、立案二庭、刑事审判第一庭、刑事审判第二庭、民事审判第一庭、民事审判第二庭、民事审判第三庭、环境资源保护审判庭、行政审判庭、审判监督第一庭、审判监督第二庭、执行局、执行一庭、执行二庭、司法警察大队、北城人民法庭、西城人民法庭、清风店人民法庭、堡自町人民法庭、东亭人民法庭、邢邑人民法庭、明月店人民法庭、李亲顾人民法庭、砖路人民法庭、子位人民法庭、叮咛店人民法庭、大辛庄人民法庭、周村人民法庭。</w:t>
      </w:r>
    </w:p>
    <w:tbl>
      <w:tblPr>
        <w:tblStyle w:val="4"/>
        <w:tblpPr w:leftFromText="180" w:rightFromText="180" w:vertAnchor="text" w:horzAnchor="page" w:tblpX="3358" w:tblpY="720"/>
        <w:tblOverlap w:val="never"/>
        <w:tblW w:w="107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63"/>
        <w:gridCol w:w="2653"/>
        <w:gridCol w:w="2610"/>
        <w:gridCol w:w="30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63" w:type="dxa"/>
          </w:tcPr>
          <w:p>
            <w:pPr>
              <w:snapToGrid w:val="0"/>
              <w:spacing w:line="560" w:lineRule="exact"/>
              <w:jc w:val="center"/>
              <w:rPr>
                <w:rFonts w:ascii="仿宋" w:hAnsi="仿宋" w:eastAsia="仿宋"/>
                <w:sz w:val="32"/>
                <w:szCs w:val="32"/>
              </w:rPr>
            </w:pPr>
            <w:r>
              <w:rPr>
                <w:rFonts w:hint="eastAsia" w:ascii="仿宋" w:hAnsi="仿宋" w:eastAsia="仿宋"/>
                <w:sz w:val="32"/>
                <w:szCs w:val="32"/>
              </w:rPr>
              <w:t>单位名称</w:t>
            </w:r>
          </w:p>
        </w:tc>
        <w:tc>
          <w:tcPr>
            <w:tcW w:w="2653" w:type="dxa"/>
          </w:tcPr>
          <w:p>
            <w:pPr>
              <w:snapToGrid w:val="0"/>
              <w:spacing w:line="560" w:lineRule="exact"/>
              <w:jc w:val="center"/>
              <w:rPr>
                <w:rFonts w:ascii="仿宋" w:hAnsi="仿宋" w:eastAsia="仿宋"/>
                <w:sz w:val="32"/>
                <w:szCs w:val="32"/>
              </w:rPr>
            </w:pPr>
            <w:r>
              <w:rPr>
                <w:rFonts w:hint="eastAsia" w:ascii="仿宋" w:hAnsi="仿宋" w:eastAsia="仿宋"/>
                <w:sz w:val="32"/>
                <w:szCs w:val="32"/>
              </w:rPr>
              <w:t>单位性质</w:t>
            </w:r>
          </w:p>
        </w:tc>
        <w:tc>
          <w:tcPr>
            <w:tcW w:w="2610" w:type="dxa"/>
          </w:tcPr>
          <w:p>
            <w:pPr>
              <w:snapToGrid w:val="0"/>
              <w:spacing w:line="560" w:lineRule="exact"/>
              <w:jc w:val="center"/>
              <w:rPr>
                <w:rFonts w:ascii="仿宋" w:hAnsi="仿宋" w:eastAsia="仿宋"/>
                <w:sz w:val="32"/>
                <w:szCs w:val="32"/>
              </w:rPr>
            </w:pPr>
            <w:r>
              <w:rPr>
                <w:rFonts w:hint="eastAsia" w:ascii="仿宋" w:hAnsi="仿宋" w:eastAsia="仿宋"/>
                <w:sz w:val="32"/>
                <w:szCs w:val="32"/>
              </w:rPr>
              <w:t>单位规格</w:t>
            </w:r>
          </w:p>
        </w:tc>
        <w:tc>
          <w:tcPr>
            <w:tcW w:w="3015" w:type="dxa"/>
          </w:tcPr>
          <w:p>
            <w:pPr>
              <w:snapToGrid w:val="0"/>
              <w:spacing w:line="560" w:lineRule="exact"/>
              <w:jc w:val="center"/>
              <w:rPr>
                <w:rFonts w:ascii="仿宋" w:hAnsi="仿宋" w:eastAsia="仿宋"/>
                <w:sz w:val="32"/>
                <w:szCs w:val="32"/>
              </w:rPr>
            </w:pPr>
            <w:r>
              <w:rPr>
                <w:rFonts w:hint="eastAsia" w:ascii="仿宋" w:hAnsi="仿宋" w:eastAsia="仿宋"/>
                <w:sz w:val="32"/>
                <w:szCs w:val="32"/>
              </w:rPr>
              <w:t>经费保障形式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63" w:type="dxa"/>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定州市人民法院</w:t>
            </w:r>
          </w:p>
        </w:tc>
        <w:tc>
          <w:tcPr>
            <w:tcW w:w="2653" w:type="dxa"/>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行政机关</w:t>
            </w:r>
          </w:p>
        </w:tc>
        <w:tc>
          <w:tcPr>
            <w:tcW w:w="2610" w:type="dxa"/>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副处级</w:t>
            </w:r>
          </w:p>
        </w:tc>
        <w:tc>
          <w:tcPr>
            <w:tcW w:w="3015" w:type="dxa"/>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 xml:space="preserve">财政拨款 </w:t>
            </w:r>
          </w:p>
        </w:tc>
      </w:tr>
    </w:tbl>
    <w:p>
      <w:pPr>
        <w:snapToGrid w:val="0"/>
        <w:spacing w:line="560" w:lineRule="exact"/>
        <w:ind w:left="210" w:leftChars="100" w:firstLine="675"/>
        <w:jc w:val="center"/>
        <w:rPr>
          <w:rFonts w:ascii="仿宋" w:hAnsi="仿宋" w:eastAsia="仿宋"/>
          <w:sz w:val="32"/>
          <w:szCs w:val="32"/>
        </w:rPr>
      </w:pPr>
      <w:r>
        <w:rPr>
          <w:rFonts w:hint="eastAsia" w:ascii="仿宋" w:hAnsi="仿宋" w:eastAsia="仿宋"/>
          <w:sz w:val="32"/>
          <w:szCs w:val="32"/>
        </w:rPr>
        <w:t>部门机构设置情况</w:t>
      </w:r>
    </w:p>
    <w:p>
      <w:pPr>
        <w:widowControl/>
        <w:shd w:val="clear" w:color="auto" w:fill="FFFFFF"/>
        <w:spacing w:line="580" w:lineRule="exact"/>
        <w:ind w:firstLine="640" w:firstLineChars="200"/>
        <w:jc w:val="left"/>
        <w:rPr>
          <w:rFonts w:ascii="仿宋_GB2312" w:hAnsi="宋体" w:eastAsia="仿宋_GB2312" w:cs="宋体"/>
          <w:color w:val="FF0000"/>
          <w:kern w:val="0"/>
          <w:sz w:val="32"/>
          <w:szCs w:val="32"/>
        </w:rPr>
      </w:pPr>
    </w:p>
    <w:p>
      <w:pPr>
        <w:widowControl/>
        <w:shd w:val="clear" w:color="auto" w:fill="FFFFFF"/>
        <w:spacing w:line="580" w:lineRule="exact"/>
        <w:ind w:firstLine="640" w:firstLineChars="200"/>
        <w:jc w:val="left"/>
        <w:rPr>
          <w:rFonts w:ascii="黑体" w:hAnsi="黑体" w:eastAsia="黑体" w:cs="宋体"/>
          <w:kern w:val="0"/>
          <w:sz w:val="32"/>
          <w:szCs w:val="32"/>
        </w:rPr>
      </w:pPr>
    </w:p>
    <w:p>
      <w:pPr>
        <w:widowControl/>
        <w:shd w:val="clear" w:color="auto" w:fill="FFFFFF"/>
        <w:spacing w:line="580" w:lineRule="exact"/>
        <w:ind w:firstLine="640" w:firstLineChars="200"/>
        <w:jc w:val="left"/>
        <w:rPr>
          <w:rFonts w:ascii="黑体" w:hAnsi="黑体" w:eastAsia="黑体" w:cs="宋体"/>
          <w:kern w:val="0"/>
          <w:sz w:val="32"/>
          <w:szCs w:val="32"/>
        </w:rPr>
      </w:pP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黑体" w:hAnsi="黑体" w:eastAsia="黑体" w:cs="宋体"/>
          <w:kern w:val="0"/>
          <w:sz w:val="32"/>
          <w:szCs w:val="32"/>
        </w:rPr>
        <w:t>二、部门预算安排总体情况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我部门本年收入3238.67万元，其中：财政拨款收入3238.67万元(其中一般公共预算3238.67万元、政府性基金预算0万元、国有资本经营预算安排0万元）、上级补助收入0万元、事业收入0万元、经营收入0万元、附属单位上缴收入0万元、其他收入0万元。</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2、安排支出3238.67万元 ，其中：基本支出2308.47万元，包括人员经费2076.47万元，日常公用经费232万元；项目支出930.20万元、上缴上级支出0万元、经营支出0万元、对附属单位补助支出0万元。</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3、增减变化情况：与2018年相比预算总收入增加505.15万元，增加的原因主要是人员经费和项目支出增加。</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三、机关运行经费安排情况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我部门安排机关运行经费232万元，其中：办公费25.44万元、印刷费0万元、邮电费11.97万元、差旅费11.68万元、会议费3.02万元、福利费12.74万元、日常维修费0万元、专用材料及一般设备购置费0万元、办公用房水费2万元、电费15万元、办公用房取暖费12.97万元、办公用房物业管理费0万元、公务用车运行维护费43.2万元、培训费5万元、公务接待费2.7万元、工会经费8.88万元，公务交通补贴77.4万元。</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四、财政拨款“三公”经费预算情况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2019年，我院财政拨款“三公”经费预算安排45.9万元，(一般公共预算45.9万元，政府性基金预算0万元、国有资本经营预算0万元、财政专户核拨资金0万元)。因公出国（境）费0万元。公务用车购置及运行费43.2万元，其中：公务用车购置费0万元、公务用车运行费43.2万元。公务接待费2.7万元。因公出国经费与上年预算相比减少9万元，2019年无组织出国培训计划,无需安排出国资金。公务用车购置及运行费与上年预算相比无变化，主要原因为：在案件数量数量逐年加大的情况下，我院通过规范车辆管理制度， 提高车辆的使用效率的措施，争取控制公车运行维护费用。公务接待费与上年预算相比减少0.3万元，按照党的十九大报告要求：“建立全面规范透明、标准科学、约束有力的预算制度，全面实施绩效管理”，实事求是安排了公务接待费。</w:t>
      </w:r>
    </w:p>
    <w:p>
      <w:pPr>
        <w:widowControl/>
        <w:shd w:val="clear" w:color="auto" w:fill="FFFFFF"/>
        <w:spacing w:line="580" w:lineRule="exact"/>
        <w:ind w:firstLine="640" w:firstLineChars="200"/>
        <w:jc w:val="left"/>
        <w:rPr>
          <w:rFonts w:ascii="黑体" w:hAnsi="黑体" w:eastAsia="黑体" w:cs="宋体"/>
          <w:kern w:val="0"/>
          <w:sz w:val="32"/>
          <w:szCs w:val="32"/>
        </w:rPr>
      </w:pPr>
    </w:p>
    <w:p>
      <w:pPr>
        <w:widowControl/>
        <w:shd w:val="clear" w:color="auto" w:fill="FFFFFF"/>
        <w:spacing w:line="580" w:lineRule="exact"/>
        <w:jc w:val="left"/>
        <w:rPr>
          <w:rFonts w:ascii="黑体" w:hAnsi="黑体" w:eastAsia="黑体" w:cs="宋体"/>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五、绩效预算信息情况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1、总体绩效目标</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法院队伍整体素质进一步增强，法院队伍思想政治水平和职业道德素养不断提高，社会主义法治理念更加巩固，司法能力特别是认识和把握大局、化解社会矛盾，促进社会和谐的能力显著增强，法院人才队伍结构更加优化。</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（2）法院工作科学化水平进一步提升。工作方针全面贯彻落实，为审判服务的理念牢固确立，各项工作扎实有序推进，管理更加科学规范，工作机制更加完善，工作质量有新的提高。</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（3）基础建设进一步完善。</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 xml:space="preserve">2、部门职责及工作活动绩效目标 </w:t>
      </w:r>
    </w:p>
    <w:p>
      <w:pPr>
        <w:widowControl/>
        <w:shd w:val="clear" w:color="auto" w:fill="FFFFFF"/>
        <w:spacing w:line="580" w:lineRule="exact"/>
        <w:ind w:firstLine="640" w:firstLineChars="200"/>
        <w:jc w:val="left"/>
        <w:rPr>
          <w:rFonts w:ascii="仿宋_GB2312" w:hAnsi="Times New Roman" w:eastAsia="仿宋_GB2312"/>
          <w:kern w:val="0"/>
          <w:sz w:val="32"/>
          <w:szCs w:val="32"/>
        </w:rPr>
      </w:pPr>
    </w:p>
    <w:p>
      <w:pPr>
        <w:widowControl/>
        <w:shd w:val="clear" w:color="auto" w:fill="FFFFFF"/>
        <w:spacing w:line="580" w:lineRule="exact"/>
        <w:ind w:firstLine="640" w:firstLineChars="200"/>
        <w:jc w:val="left"/>
        <w:rPr>
          <w:rFonts w:ascii="仿宋_GB2312" w:hAnsi="Times New Roman" w:eastAsia="仿宋_GB2312"/>
          <w:kern w:val="0"/>
          <w:sz w:val="32"/>
          <w:szCs w:val="32"/>
        </w:rPr>
      </w:pPr>
    </w:p>
    <w:tbl>
      <w:tblPr>
        <w:tblStyle w:val="4"/>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hint="eastAsia" w:ascii="方正小标宋_GBK" w:eastAsia="方正小标宋_GBK"/>
                <w:sz w:val="24"/>
              </w:rPr>
              <w:t>161人民法院</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一、案件审判管理和执行</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349.00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、案件审判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349.00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依法审判一审刑事、民事、行政案件。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依法惩治刑事犯罪，监督行政机关依法行政，促进社会和谐，维护社会稳定，服务全县工作大局，发挥服务保障职能。</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案件判决数占审判案件总数的比例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二、案件审判管理和执行</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、案件审判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依法审判一审刑事、民事、行政案件。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依法惩治刑事犯罪，监督行政机关依法行政，促进社会和谐，维护社会稳定，服务全县工作大局，发挥服务保障职能。</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全部案件的审理天数与结案总数的比</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三、案件审判管理和执行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、案件审判</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依法审判一审刑事、民事、行政案件。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依法惩治刑事犯罪，监督行政机关依法行政，促进社会和谐，维护社会稳定，服务全县工作大局，发挥服务保障职能。</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法定审限内结案数占结案数的比例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96%</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94%</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四、案件审判管理和执行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、案件判决执行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执行本院已经发生法律效力的法律文书和法律规定由本院执行的其他生效法律文书及委托执行案件。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积极推进执行工作，切实保障群众合法权益，维护社会公平正义。</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实际执行案件结案数占应由本院执行的案件数的比例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五、案件审判管理和执行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、案件判决执行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执行本院已经发生法律效力的法律文书和法律规定由本院执行的其他生效法律文书及委托执行案件。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积极推进执行工作，切实保障群众合法权益，维护社会公平正义。</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效果指标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比执结规定提前的时间与执结规定的时间的比例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六、案件审判管理和执行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、案件判决执行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执行本院已经发生法律效力的法律文书和法律规定由本院执行的其他生效法律文书及委托执行案件。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积极推进执行工作，切实保障群众合法权益，维护社会公平正义。</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执行案件公开数占执结案件数的比例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七、案件审判管理和执行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、审判管理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规范、保障、促进审判执行工作，包括：案件信息管理、案件质量评估、案件质量评查、审判流程管理、审判运势分析等。</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完善审判质效评估体系，促进审判质效、健全司法权力运行机制，提升司法公信力。</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纳入审判管理流程案件占全部案件的比例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八、案件审判管理和执行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、审判管理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规范、保障、促进审判执行工作，包括：案件信息管理、案件质量评估、案件质量评查、审判流程管理、审判运势分析等。</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完善审判质效评估体系，促进审判质效、健全司法权力运行机制，提升司法公信力。</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审判流程公开案件占全部案件的比例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九、案件审判管理和执行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、审判管理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规范、保障、促进审判执行工作，包括：案件信息管理、案件质量评估、案件质量评查、审判流程管理、审判运势分析等。</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完善审判质效评估体系，促进审判质效、健全司法权力运行机制，提升司法公信力。</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效果指标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正确案件信息数占全部案件信息数的比例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、司法技术辅助</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开展司法技术辅助工作。对审判工作技术咨询、技术审核服务，主要工作包括：对外委托鉴定、评估、审计、拍卖、组织专家审核等。</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为案件审判提供技术支撑，提高办案质量。</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年度内已开展司法技术辅助工作数量占申请开展司法技术辅助工作量的比例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十一、案件审判管理和执行</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、司法技术辅助</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开展司法技术辅助工作。对审判工作技术咨询、技术审核服务，主要工作包括：对外委托鉴定、评估、审计、拍卖、组织专家审核等。</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为案件审判提供技术支撑，提高办案质量。</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在规定时限内完成委托鉴定数占委托鉴定总数的比例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十二、司法救助和国家赔偿</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12.00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、涉法涉诉</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12.00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完成涉法涉诉类上访案件的息诉罢访工作，做好</w:t>
            </w:r>
            <w:r>
              <w:rPr>
                <w:rFonts w:hint="cs" w:ascii="方正书宋_GBK" w:eastAsia="方正书宋_GBK"/>
              </w:rPr>
              <w:t>“</w:t>
            </w:r>
            <w:r>
              <w:rPr>
                <w:rFonts w:hint="eastAsia" w:ascii="方正书宋_GBK" w:eastAsia="方正书宋_GBK"/>
              </w:rPr>
              <w:t>两会</w:t>
            </w:r>
            <w:r>
              <w:rPr>
                <w:rFonts w:hint="cs" w:ascii="方正书宋_GBK" w:eastAsia="方正书宋_GBK"/>
              </w:rPr>
              <w:t>”</w:t>
            </w:r>
            <w:r>
              <w:rPr>
                <w:rFonts w:hint="eastAsia" w:ascii="方正书宋_GBK" w:eastAsia="方正书宋_GBK"/>
              </w:rPr>
              <w:t>、重大活动期间的维稳工作，接待分流越级上访人员、协助处理到上级法院的集体访和闹访人员的稳控遣返工作。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保障信访工作正常进行，提高信访案件结案率、信访受理满意度，维护国家机关的正常工作秩序，做好稳控工作。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已按程序处理信访案件数量占受理信访案件数量的比例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十三、司法救助和国家赔偿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、涉法涉诉</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完成涉法涉诉类上访案件的息诉罢访工作，做好</w:t>
            </w:r>
            <w:r>
              <w:rPr>
                <w:rFonts w:hint="cs" w:ascii="方正书宋_GBK" w:eastAsia="方正书宋_GBK"/>
              </w:rPr>
              <w:t>“</w:t>
            </w:r>
            <w:r>
              <w:rPr>
                <w:rFonts w:hint="eastAsia" w:ascii="方正书宋_GBK" w:eastAsia="方正书宋_GBK"/>
              </w:rPr>
              <w:t>两会</w:t>
            </w:r>
            <w:r>
              <w:rPr>
                <w:rFonts w:hint="cs" w:ascii="方正书宋_GBK" w:eastAsia="方正书宋_GBK"/>
              </w:rPr>
              <w:t>”</w:t>
            </w:r>
            <w:r>
              <w:rPr>
                <w:rFonts w:hint="eastAsia" w:ascii="方正书宋_GBK" w:eastAsia="方正书宋_GBK"/>
              </w:rPr>
              <w:t>、重大活动期间的维稳工作，接待分流越级上访人员、协助处理到上级法院的集体访和闹访人员的稳控遣返工作。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保障信访工作正常进行，提高信访案件结案率、信访受理满意度，维护国家机关的正常工作秩序，做好稳控工作。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效果指标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调查了解上访人对信访处理的满意程度</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十四、司法救助和国家赔偿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、司法救助</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对受到侵害但无法获得有效赔偿的当事人给予资助。</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不断完善司法救助，切实保护民生，让人民群众感受到司法以人为本，享受到司法人文关怀。</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实际发放到位的救助资金占已批复的救助资金的比例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十五、司法救助和国家赔偿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、司法救助</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对受到侵害但无法获得有效赔偿的当事人给予资助。</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不断完善司法救助，切实保护民生，让人民群众感受到司法以人为本，享受到司法人文关怀。</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效果指标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司法救助案件化解矛盾的数量占司法救助案件数的比例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r>
              <w:rPr>
                <w:rFonts w:hint="eastAsia" w:ascii="方正书宋_GBK" w:eastAsia="方正书宋_GBK"/>
              </w:rPr>
              <w:t>％</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十六、司法救助和国家赔偿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、司法救助</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对受到侵害但无法获得有效赔偿的当事人给予资助。</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不断完善司法救助，切实保护民生，让人民群众感受到司法以人为本，享受到司法人文关怀。</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司法救助已结案件量占全部立案的司法救助案件量的比例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十七、司法救助和国家赔偿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依法办理国家赔偿案件，执行赔偿委员会决定事项，审查处理赔偿告诉申诉案件。主要工作包括调查、取证，审理。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保护被侵害人的合法权益，促进行政机关、司法机关依法履行职责。</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年度内已完成的国家赔偿案件办理工作量占受理量的比例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十八、司法救助和国家赔偿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依法办理国家赔偿案件，执行赔偿委员会决定事项，审查处理赔偿告诉申诉案件。主要工作包括调查、取证，审理。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保护被侵害人的合法权益，促进行政机关、司法机关依法履行职责。</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提前审限时间占规定时间的比例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十九、司法救助和国家赔偿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完成涉法涉诉类案件的息诉罢访工作，依法办理国家赔偿案件。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改革涉诉信访工作，推动涉诉信访问题在法治轨道内解决；落实司法为民措施，保护被侵权人合法利益，促进国家机关依法行使职权。</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、国家赔偿</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依法办理国家赔偿案件，执行赔偿委员会决定事项，审查处理赔偿告诉申诉案件。主要工作包括调查、取证，审理。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保护被侵害人的合法权益，促进行政机关、司法机关依法履行职责。</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效果指标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已按程序处理国家赔偿案件与全年受理国家赔偿案件比例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二十、法院事务管理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549.20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系统综合业务管理和综合事务管理。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提高队伍素质和执法能力，高质高效完成各项工作。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549.20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加强法院系统队伍建设，加强法院基础设施及信息化建设，加强培训及法院文化建设；总结人民法院审判业务工作经验，建立绩效考核制度，加强对外宣传以及舆论引导，树立法院良好形象。</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不断提高队伍素质和执法能力，推进信息公开，提升审判质效，改进司法工作作风，树立法院良好形象。</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综合业务管理工作完成情况占综合业务管理工作任务的比例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二十一、法院事务管理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系统综合业务管理和综合事务管理。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提高队伍素质和执法能力，高质高效完成各项工作。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领导全县人民法庭的监察工作；管理全县法庭司法行政工作；承办其它应由县级人民法院负责的工作。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高质高效完成年度各项工作。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产出指标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各项后勤保障工作完成情况占各项后勤保障工作任务的比例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二十二、法院事务管理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系统综合业务管理和综合事务管理。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提高队伍素质和执法能力，高质高效完成各项工作。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领导全县人民法庭的监察工作；管理全县法庭司法行政工作；承办其它应由县级人民法院负责的工作。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高质高效完成年度各项工作。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综合事务管理工作完成情况占综合事务管理工作任务的比例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bl>
    <w:p>
      <w:pPr>
        <w:widowControl/>
        <w:numPr>
          <w:ilvl w:val="0"/>
          <w:numId w:val="1"/>
        </w:numPr>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重点工作：</w:t>
      </w:r>
    </w:p>
    <w:p>
      <w:pPr>
        <w:widowControl/>
        <w:numPr>
          <w:ilvl w:val="0"/>
          <w:numId w:val="2"/>
        </w:numPr>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案件审判需经费349万元，依法审判一审刑事、民事、行政案件，依法惩治刑事犯罪，监督行政机关依法行政，促进社会和谐，维护社会稳定，服务全市工作大局，发挥服务保障职能。</w:t>
      </w:r>
    </w:p>
    <w:p>
      <w:pPr>
        <w:widowControl/>
        <w:numPr>
          <w:ilvl w:val="0"/>
          <w:numId w:val="2"/>
        </w:numPr>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司法救助需经费12万元，对受到侵害但无法获得有效赔偿的当事人给予资助，不断完善司法救助，切实保护民生，让人民群众感受到司法以人为本，享受到司法人文关怀。</w:t>
      </w:r>
    </w:p>
    <w:p>
      <w:pPr>
        <w:widowControl/>
        <w:numPr>
          <w:ilvl w:val="0"/>
          <w:numId w:val="2"/>
        </w:numPr>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综合业务管理需经费549.2万元，加强法院系统队伍建设，加强法院基础设施及信息化建设，加强培训及法院文化建设；总结人民法院审判业务工作经验，建立绩效考核制度，加强对外宣传以及舆论引导，树立法院良好形象。</w:t>
      </w:r>
    </w:p>
    <w:p>
      <w:pPr>
        <w:widowControl/>
        <w:shd w:val="clear" w:color="auto" w:fill="FFFFFF"/>
        <w:spacing w:line="580" w:lineRule="exact"/>
        <w:jc w:val="left"/>
        <w:rPr>
          <w:rFonts w:ascii="仿宋_GB2312" w:hAnsi="Times New Roman" w:eastAsia="仿宋_GB2312"/>
          <w:kern w:val="0"/>
          <w:sz w:val="32"/>
          <w:szCs w:val="32"/>
        </w:rPr>
      </w:pPr>
    </w:p>
    <w:p>
      <w:pPr>
        <w:widowControl/>
        <w:shd w:val="clear" w:color="auto" w:fill="FFFFFF"/>
        <w:spacing w:line="580" w:lineRule="exact"/>
        <w:jc w:val="left"/>
        <w:rPr>
          <w:rFonts w:ascii="仿宋_GB2312" w:hAnsi="Times New Roman" w:eastAsia="仿宋_GB2312"/>
          <w:kern w:val="0"/>
          <w:sz w:val="32"/>
          <w:szCs w:val="32"/>
        </w:rPr>
      </w:pPr>
    </w:p>
    <w:p>
      <w:pPr>
        <w:widowControl/>
        <w:shd w:val="clear" w:color="auto" w:fill="FFFFFF"/>
        <w:spacing w:line="580" w:lineRule="exact"/>
        <w:jc w:val="left"/>
        <w:rPr>
          <w:rFonts w:ascii="仿宋_GB2312" w:hAnsi="Times New Roman" w:eastAsia="仿宋_GB2312"/>
          <w:kern w:val="0"/>
          <w:sz w:val="32"/>
          <w:szCs w:val="32"/>
        </w:rPr>
      </w:pPr>
    </w:p>
    <w:p>
      <w:pPr>
        <w:widowControl/>
        <w:numPr>
          <w:ilvl w:val="0"/>
          <w:numId w:val="3"/>
        </w:numPr>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政府采购预算情况</w:t>
      </w:r>
    </w:p>
    <w:p>
      <w:pPr>
        <w:ind w:firstLine="640" w:firstLineChars="200"/>
        <w:jc w:val="left"/>
        <w:rPr>
          <w:rFonts w:hint="eastAsia" w:ascii="宋体" w:hAnsi="宋体" w:cs="宋体"/>
          <w:kern w:val="0"/>
          <w:sz w:val="32"/>
          <w:szCs w:val="32"/>
          <w:lang w:eastAsia="zh-CN"/>
        </w:rPr>
      </w:pPr>
      <w:r>
        <w:rPr>
          <w:rFonts w:hint="eastAsia" w:ascii="宋体" w:hAnsi="宋体" w:cs="宋体"/>
          <w:kern w:val="0"/>
          <w:sz w:val="32"/>
          <w:szCs w:val="32"/>
          <w:lang w:val="en-US" w:eastAsia="zh-CN"/>
        </w:rPr>
        <w:t>2019年</w:t>
      </w:r>
      <w:bookmarkStart w:id="0" w:name="_GoBack"/>
      <w:bookmarkEnd w:id="0"/>
      <w:r>
        <w:rPr>
          <w:rFonts w:hint="eastAsia" w:ascii="宋体" w:hAnsi="宋体" w:cs="宋体"/>
          <w:kern w:val="0"/>
          <w:sz w:val="32"/>
          <w:szCs w:val="32"/>
        </w:rPr>
        <w:t>度</w:t>
      </w:r>
      <w:r>
        <w:rPr>
          <w:rFonts w:hint="eastAsia" w:ascii="宋体" w:hAnsi="宋体" w:cs="宋体"/>
          <w:kern w:val="0"/>
          <w:sz w:val="32"/>
          <w:szCs w:val="32"/>
          <w:lang w:eastAsia="zh-CN"/>
        </w:rPr>
        <w:t>定州市人民法院</w:t>
      </w:r>
      <w:r>
        <w:rPr>
          <w:rFonts w:hint="eastAsia" w:ascii="宋体" w:hAnsi="宋体" w:cs="宋体"/>
          <w:kern w:val="0"/>
          <w:sz w:val="32"/>
          <w:szCs w:val="32"/>
        </w:rPr>
        <w:t>安排政府采购</w:t>
      </w:r>
      <w:r>
        <w:rPr>
          <w:rFonts w:hint="eastAsia" w:ascii="宋体" w:hAnsi="宋体" w:cs="宋体"/>
          <w:kern w:val="0"/>
          <w:sz w:val="32"/>
          <w:szCs w:val="32"/>
          <w:lang w:eastAsia="zh-CN"/>
        </w:rPr>
        <w:t>预算</w:t>
      </w:r>
      <w:r>
        <w:rPr>
          <w:rFonts w:hint="eastAsia" w:ascii="宋体" w:hAnsi="宋体" w:cs="宋体"/>
          <w:kern w:val="0"/>
          <w:sz w:val="32"/>
          <w:szCs w:val="32"/>
        </w:rPr>
        <w:t>86.4万元</w:t>
      </w:r>
      <w:r>
        <w:rPr>
          <w:rFonts w:hint="eastAsia" w:ascii="宋体" w:hAnsi="宋体" w:cs="宋体"/>
          <w:kern w:val="0"/>
          <w:sz w:val="32"/>
          <w:szCs w:val="32"/>
          <w:lang w:eastAsia="zh-CN"/>
        </w:rPr>
        <w:t>。具体内容见下表。</w:t>
      </w:r>
    </w:p>
    <w:p>
      <w:pPr>
        <w:ind w:firstLine="640" w:firstLineChars="200"/>
        <w:jc w:val="left"/>
        <w:rPr>
          <w:rFonts w:hint="eastAsia" w:ascii="宋体" w:hAnsi="宋体" w:cs="宋体"/>
          <w:kern w:val="0"/>
          <w:sz w:val="32"/>
          <w:szCs w:val="32"/>
          <w:lang w:eastAsia="zh-CN"/>
        </w:rPr>
      </w:pPr>
    </w:p>
    <w:p>
      <w:pPr>
        <w:ind w:firstLine="640" w:firstLineChars="200"/>
        <w:jc w:val="left"/>
        <w:rPr>
          <w:rFonts w:hint="eastAsia" w:ascii="宋体" w:hAnsi="宋体" w:cs="宋体"/>
          <w:kern w:val="0"/>
          <w:sz w:val="32"/>
          <w:szCs w:val="32"/>
          <w:lang w:eastAsia="zh-CN"/>
        </w:rPr>
      </w:pPr>
    </w:p>
    <w:p>
      <w:pPr>
        <w:jc w:val="center"/>
        <w:rPr>
          <w:rFonts w:ascii="方正小标宋_GBK" w:eastAsia="方正小标宋_GBK"/>
          <w:color w:val="auto"/>
          <w:sz w:val="32"/>
          <w:szCs w:val="32"/>
          <w:highlight w:val="none"/>
        </w:rPr>
      </w:pPr>
      <w:r>
        <w:rPr>
          <w:rFonts w:hint="eastAsia" w:ascii="方正小标宋_GBK" w:eastAsia="方正小标宋_GBK"/>
          <w:color w:val="auto"/>
          <w:sz w:val="32"/>
          <w:szCs w:val="32"/>
          <w:highlight w:val="none"/>
        </w:rPr>
        <w:t>部门政府采购预算</w:t>
      </w:r>
    </w:p>
    <w:tbl>
      <w:tblPr>
        <w:tblStyle w:val="4"/>
        <w:tblW w:w="1473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60"/>
        <w:gridCol w:w="1134"/>
        <w:gridCol w:w="1417"/>
        <w:gridCol w:w="1294"/>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928"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hint="eastAsia" w:ascii="方正小标宋_GBK" w:eastAsia="方正仿宋_GBK"/>
                <w:sz w:val="24"/>
                <w:highlight w:val="none"/>
                <w:lang w:eastAsia="zh-CN"/>
              </w:rPr>
            </w:pPr>
            <w:r>
              <w:rPr>
                <w:rFonts w:hint="eastAsia" w:eastAsia="方正仿宋_GBK"/>
                <w:sz w:val="28"/>
                <w:highlight w:val="none"/>
                <w:lang w:val="en-US" w:eastAsia="zh-CN"/>
              </w:rPr>
              <w:t>161</w:t>
            </w:r>
            <w:r>
              <w:rPr>
                <w:rFonts w:hint="eastAsia" w:eastAsia="方正仿宋_GBK"/>
                <w:sz w:val="28"/>
                <w:highlight w:val="none"/>
              </w:rPr>
              <w:t>定州市</w:t>
            </w:r>
            <w:r>
              <w:rPr>
                <w:rFonts w:hint="eastAsia" w:eastAsia="方正仿宋_GBK"/>
                <w:sz w:val="28"/>
                <w:highlight w:val="none"/>
                <w:lang w:eastAsia="zh-CN"/>
              </w:rPr>
              <w:t>人民法院</w:t>
            </w:r>
          </w:p>
        </w:tc>
        <w:tc>
          <w:tcPr>
            <w:tcW w:w="680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highlight w:val="none"/>
              </w:rPr>
            </w:pPr>
            <w:r>
              <w:rPr>
                <w:rFonts w:hint="eastAsia" w:ascii="方正小标宋_GBK" w:eastAsia="方正小标宋_GBK"/>
                <w:sz w:val="24"/>
                <w:highlight w:val="none"/>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94" w:type="dxa"/>
            <w:gridSpan w:val="2"/>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政府采购项目来源</w:t>
            </w:r>
          </w:p>
        </w:tc>
        <w:tc>
          <w:tcPr>
            <w:tcW w:w="1417" w:type="dxa"/>
            <w:vMerge w:val="restart"/>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采购物品名称</w:t>
            </w:r>
          </w:p>
        </w:tc>
        <w:tc>
          <w:tcPr>
            <w:tcW w:w="1294" w:type="dxa"/>
            <w:vMerge w:val="restart"/>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政府采购目录序号</w:t>
            </w:r>
          </w:p>
        </w:tc>
        <w:tc>
          <w:tcPr>
            <w:tcW w:w="709" w:type="dxa"/>
            <w:vMerge w:val="restart"/>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计量</w:t>
            </w:r>
            <w:r>
              <w:rPr>
                <w:rFonts w:ascii="方正书宋_GBK" w:eastAsia="方正书宋_GBK"/>
                <w:b/>
                <w:highlight w:val="none"/>
              </w:rPr>
              <w:t xml:space="preserve">  单位</w:t>
            </w:r>
          </w:p>
        </w:tc>
        <w:tc>
          <w:tcPr>
            <w:tcW w:w="907" w:type="dxa"/>
            <w:vMerge w:val="restart"/>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数量</w:t>
            </w:r>
          </w:p>
        </w:tc>
        <w:tc>
          <w:tcPr>
            <w:tcW w:w="907" w:type="dxa"/>
            <w:vMerge w:val="restart"/>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单价</w:t>
            </w:r>
          </w:p>
        </w:tc>
        <w:tc>
          <w:tcPr>
            <w:tcW w:w="6804" w:type="dxa"/>
            <w:gridSpan w:val="6"/>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560"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项目名称</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预算资金</w:t>
            </w:r>
          </w:p>
        </w:tc>
        <w:tc>
          <w:tcPr>
            <w:tcW w:w="1417" w:type="dxa"/>
            <w:vMerge w:val="continue"/>
            <w:shd w:val="clear" w:color="auto" w:fill="auto"/>
            <w:vAlign w:val="center"/>
          </w:tcPr>
          <w:p>
            <w:pPr>
              <w:spacing w:line="300" w:lineRule="exact"/>
              <w:jc w:val="left"/>
              <w:outlineLvl w:val="1"/>
              <w:rPr>
                <w:rFonts w:eastAsia="方正仿宋_GBK"/>
                <w:sz w:val="28"/>
                <w:highlight w:val="none"/>
              </w:rPr>
            </w:pPr>
          </w:p>
        </w:tc>
        <w:tc>
          <w:tcPr>
            <w:tcW w:w="1294" w:type="dxa"/>
            <w:vMerge w:val="continue"/>
            <w:shd w:val="clear" w:color="auto" w:fill="auto"/>
            <w:vAlign w:val="center"/>
          </w:tcPr>
          <w:p>
            <w:pPr>
              <w:spacing w:line="300" w:lineRule="exact"/>
              <w:jc w:val="left"/>
              <w:outlineLvl w:val="1"/>
              <w:rPr>
                <w:rFonts w:eastAsia="方正仿宋_GBK"/>
                <w:sz w:val="28"/>
                <w:highlight w:val="none"/>
              </w:rPr>
            </w:pPr>
          </w:p>
        </w:tc>
        <w:tc>
          <w:tcPr>
            <w:tcW w:w="709" w:type="dxa"/>
            <w:vMerge w:val="continue"/>
            <w:shd w:val="clear" w:color="auto" w:fill="auto"/>
            <w:vAlign w:val="center"/>
          </w:tcPr>
          <w:p>
            <w:pPr>
              <w:spacing w:line="300" w:lineRule="exact"/>
              <w:jc w:val="left"/>
              <w:outlineLvl w:val="1"/>
              <w:rPr>
                <w:rFonts w:eastAsia="方正仿宋_GBK"/>
                <w:sz w:val="28"/>
                <w:highlight w:val="none"/>
              </w:rPr>
            </w:pPr>
          </w:p>
        </w:tc>
        <w:tc>
          <w:tcPr>
            <w:tcW w:w="907" w:type="dxa"/>
            <w:vMerge w:val="continue"/>
            <w:shd w:val="clear" w:color="auto" w:fill="auto"/>
            <w:vAlign w:val="center"/>
          </w:tcPr>
          <w:p>
            <w:pPr>
              <w:spacing w:line="300" w:lineRule="exact"/>
              <w:jc w:val="left"/>
              <w:outlineLvl w:val="1"/>
              <w:rPr>
                <w:rFonts w:eastAsia="方正仿宋_GBK"/>
                <w:sz w:val="28"/>
                <w:highlight w:val="none"/>
              </w:rPr>
            </w:pPr>
          </w:p>
        </w:tc>
        <w:tc>
          <w:tcPr>
            <w:tcW w:w="907" w:type="dxa"/>
            <w:vMerge w:val="continue"/>
            <w:shd w:val="clear" w:color="auto" w:fill="auto"/>
            <w:vAlign w:val="center"/>
          </w:tcPr>
          <w:p>
            <w:pPr>
              <w:spacing w:line="300" w:lineRule="exact"/>
              <w:jc w:val="left"/>
              <w:outlineLvl w:val="1"/>
              <w:rPr>
                <w:rFonts w:eastAsia="方正仿宋_GBK"/>
                <w:sz w:val="28"/>
                <w:highlight w:val="none"/>
              </w:rPr>
            </w:pP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合计</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一般公共预算拨款</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基金预算拨款</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国有资本经营预算拨款</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财政专户核拨</w:t>
            </w:r>
          </w:p>
        </w:tc>
        <w:tc>
          <w:tcPr>
            <w:tcW w:w="1134"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center"/>
              <w:rPr>
                <w:rFonts w:ascii="方正书宋_GBK" w:eastAsia="方正书宋_GBK"/>
                <w:b/>
                <w:highlight w:val="none"/>
              </w:rPr>
            </w:pPr>
            <w:r>
              <w:rPr>
                <w:rFonts w:hint="eastAsia" w:ascii="方正书宋_GBK" w:eastAsia="方正书宋_GBK"/>
                <w:b/>
                <w:highlight w:val="none"/>
              </w:rPr>
              <w:t>合　计</w:t>
            </w:r>
          </w:p>
        </w:tc>
        <w:tc>
          <w:tcPr>
            <w:tcW w:w="1134" w:type="dxa"/>
            <w:shd w:val="clear" w:color="auto" w:fill="auto"/>
            <w:vAlign w:val="center"/>
          </w:tcPr>
          <w:p>
            <w:pPr>
              <w:spacing w:line="300" w:lineRule="exact"/>
              <w:jc w:val="right"/>
              <w:rPr>
                <w:rFonts w:ascii="方正书宋_GBK" w:eastAsia="方正书宋_GBK"/>
                <w:b/>
                <w:highlight w:val="none"/>
              </w:rPr>
            </w:pPr>
          </w:p>
        </w:tc>
        <w:tc>
          <w:tcPr>
            <w:tcW w:w="1417" w:type="dxa"/>
            <w:shd w:val="clear" w:color="auto" w:fill="auto"/>
            <w:vAlign w:val="center"/>
          </w:tcPr>
          <w:p>
            <w:pPr>
              <w:spacing w:line="300" w:lineRule="exact"/>
              <w:jc w:val="left"/>
              <w:rPr>
                <w:rFonts w:ascii="方正书宋_GBK" w:eastAsia="方正书宋_GBK"/>
                <w:b/>
                <w:highlight w:val="none"/>
              </w:rPr>
            </w:pPr>
          </w:p>
        </w:tc>
        <w:tc>
          <w:tcPr>
            <w:tcW w:w="1294" w:type="dxa"/>
            <w:shd w:val="clear" w:color="auto" w:fill="auto"/>
            <w:vAlign w:val="center"/>
          </w:tcPr>
          <w:p>
            <w:pPr>
              <w:spacing w:line="300" w:lineRule="exact"/>
              <w:jc w:val="left"/>
              <w:rPr>
                <w:rFonts w:ascii="方正书宋_GBK" w:eastAsia="方正书宋_GBK"/>
                <w:b/>
                <w:highlight w:val="none"/>
              </w:rPr>
            </w:pPr>
          </w:p>
        </w:tc>
        <w:tc>
          <w:tcPr>
            <w:tcW w:w="709" w:type="dxa"/>
            <w:shd w:val="clear" w:color="auto" w:fill="auto"/>
            <w:vAlign w:val="center"/>
          </w:tcPr>
          <w:p>
            <w:pPr>
              <w:spacing w:line="300" w:lineRule="exact"/>
              <w:jc w:val="center"/>
              <w:rPr>
                <w:rFonts w:ascii="方正书宋_GBK" w:eastAsia="方正书宋_GBK"/>
                <w:b/>
                <w:highlight w:val="none"/>
              </w:rPr>
            </w:pPr>
          </w:p>
        </w:tc>
        <w:tc>
          <w:tcPr>
            <w:tcW w:w="907" w:type="dxa"/>
            <w:shd w:val="clear" w:color="auto" w:fill="auto"/>
            <w:vAlign w:val="center"/>
          </w:tcPr>
          <w:p>
            <w:pPr>
              <w:spacing w:line="300" w:lineRule="exact"/>
              <w:jc w:val="right"/>
              <w:rPr>
                <w:rFonts w:ascii="方正书宋_GBK" w:eastAsia="方正书宋_GBK"/>
                <w:b/>
                <w:highlight w:val="none"/>
              </w:rPr>
            </w:pPr>
          </w:p>
        </w:tc>
        <w:tc>
          <w:tcPr>
            <w:tcW w:w="907"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hint="default" w:ascii="方正书宋_GBK" w:eastAsia="方正书宋_GBK"/>
                <w:b/>
                <w:highlight w:val="none"/>
                <w:lang w:val="en-US" w:eastAsia="zh-CN"/>
              </w:rPr>
            </w:pPr>
            <w:r>
              <w:rPr>
                <w:rFonts w:hint="eastAsia" w:ascii="方正书宋_GBK" w:eastAsia="方正书宋_GBK"/>
                <w:b/>
                <w:highlight w:val="none"/>
                <w:lang w:val="en-US" w:eastAsia="zh-CN"/>
              </w:rPr>
              <w:t>86.40</w:t>
            </w:r>
          </w:p>
        </w:tc>
        <w:tc>
          <w:tcPr>
            <w:tcW w:w="1134" w:type="dxa"/>
            <w:shd w:val="clear" w:color="auto" w:fill="auto"/>
            <w:vAlign w:val="center"/>
          </w:tcPr>
          <w:p>
            <w:pPr>
              <w:spacing w:line="300" w:lineRule="exact"/>
              <w:jc w:val="right"/>
              <w:rPr>
                <w:rFonts w:hint="default" w:ascii="方正书宋_GBK" w:eastAsia="方正书宋_GBK"/>
                <w:b/>
                <w:highlight w:val="none"/>
                <w:lang w:val="en-US" w:eastAsia="zh-CN"/>
              </w:rPr>
            </w:pPr>
            <w:r>
              <w:rPr>
                <w:rFonts w:hint="eastAsia" w:ascii="方正书宋_GBK" w:eastAsia="方正书宋_GBK"/>
                <w:b/>
                <w:highlight w:val="none"/>
                <w:lang w:val="en-US" w:eastAsia="zh-CN"/>
              </w:rPr>
              <w:t>86.40</w:t>
            </w: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ascii="方正书宋_GBK" w:eastAsia="方正书宋_GBK"/>
                <w:b/>
                <w:highlight w:val="none"/>
              </w:rPr>
            </w:pPr>
            <w:r>
              <w:rPr>
                <w:rFonts w:hint="eastAsia" w:ascii="方正书宋_GBK" w:eastAsia="方正书宋_GBK"/>
                <w:highlight w:val="none"/>
              </w:rPr>
              <w:t>日常公用经费</w:t>
            </w:r>
          </w:p>
        </w:tc>
        <w:tc>
          <w:tcPr>
            <w:tcW w:w="1134" w:type="dxa"/>
            <w:shd w:val="clear" w:color="auto" w:fill="auto"/>
            <w:vAlign w:val="center"/>
          </w:tcPr>
          <w:p>
            <w:pPr>
              <w:spacing w:line="300" w:lineRule="exact"/>
              <w:jc w:val="right"/>
              <w:rPr>
                <w:rFonts w:hint="default" w:ascii="方正书宋_GBK" w:eastAsia="方正书宋_GBK"/>
                <w:b/>
                <w:highlight w:val="none"/>
                <w:lang w:val="en-US" w:eastAsia="zh-CN"/>
              </w:rPr>
            </w:pPr>
            <w:r>
              <w:rPr>
                <w:rFonts w:hint="eastAsia" w:ascii="方正书宋_GBK" w:eastAsia="方正书宋_GBK"/>
                <w:highlight w:val="none"/>
                <w:lang w:val="en-US" w:eastAsia="zh-CN"/>
              </w:rPr>
              <w:t>232</w:t>
            </w:r>
          </w:p>
        </w:tc>
        <w:tc>
          <w:tcPr>
            <w:tcW w:w="1417" w:type="dxa"/>
            <w:shd w:val="clear" w:color="auto" w:fill="auto"/>
            <w:vAlign w:val="center"/>
          </w:tcPr>
          <w:p>
            <w:pPr>
              <w:spacing w:line="300" w:lineRule="exact"/>
              <w:jc w:val="left"/>
              <w:rPr>
                <w:rFonts w:ascii="方正书宋_GBK" w:eastAsia="方正书宋_GBK"/>
                <w:b/>
                <w:highlight w:val="none"/>
              </w:rPr>
            </w:pPr>
            <w:r>
              <w:rPr>
                <w:rFonts w:hint="eastAsia" w:ascii="方正书宋_GBK" w:eastAsia="方正书宋_GBK"/>
                <w:highlight w:val="none"/>
              </w:rPr>
              <w:t>办公消耗用品及类似物品</w:t>
            </w:r>
          </w:p>
        </w:tc>
        <w:tc>
          <w:tcPr>
            <w:tcW w:w="1294" w:type="dxa"/>
            <w:shd w:val="clear" w:color="auto" w:fill="auto"/>
            <w:vAlign w:val="center"/>
          </w:tcPr>
          <w:p>
            <w:pPr>
              <w:spacing w:line="300" w:lineRule="exact"/>
              <w:jc w:val="left"/>
              <w:rPr>
                <w:rFonts w:ascii="方正书宋_GBK" w:eastAsia="方正书宋_GBK"/>
                <w:b/>
                <w:highlight w:val="none"/>
              </w:rPr>
            </w:pPr>
            <w:r>
              <w:rPr>
                <w:rFonts w:ascii="方正书宋_GBK" w:eastAsia="方正书宋_GBK"/>
                <w:highlight w:val="none"/>
              </w:rPr>
              <w:t>A09</w:t>
            </w:r>
          </w:p>
        </w:tc>
        <w:tc>
          <w:tcPr>
            <w:tcW w:w="709" w:type="dxa"/>
            <w:shd w:val="clear" w:color="auto" w:fill="auto"/>
            <w:vAlign w:val="center"/>
          </w:tcPr>
          <w:p>
            <w:pPr>
              <w:spacing w:line="300" w:lineRule="exact"/>
              <w:jc w:val="center"/>
              <w:rPr>
                <w:rFonts w:hint="eastAsia" w:ascii="方正书宋_GBK" w:eastAsia="方正书宋_GBK"/>
                <w:b/>
                <w:highlight w:val="none"/>
                <w:lang w:eastAsia="zh-CN"/>
              </w:rPr>
            </w:pPr>
            <w:r>
              <w:rPr>
                <w:rFonts w:hint="eastAsia" w:ascii="方正书宋_GBK" w:eastAsia="方正书宋_GBK"/>
                <w:b/>
                <w:highlight w:val="none"/>
                <w:lang w:eastAsia="zh-CN"/>
              </w:rPr>
              <w:t>箱</w:t>
            </w:r>
          </w:p>
        </w:tc>
        <w:tc>
          <w:tcPr>
            <w:tcW w:w="907" w:type="dxa"/>
            <w:shd w:val="clear" w:color="auto" w:fill="auto"/>
            <w:vAlign w:val="center"/>
          </w:tcPr>
          <w:p>
            <w:pPr>
              <w:spacing w:line="300" w:lineRule="exact"/>
              <w:jc w:val="right"/>
              <w:rPr>
                <w:rFonts w:ascii="方正书宋_GBK" w:eastAsia="方正书宋_GBK"/>
                <w:b/>
                <w:highlight w:val="none"/>
              </w:rPr>
            </w:pPr>
            <w:r>
              <w:rPr>
                <w:rFonts w:hint="eastAsia" w:ascii="方正书宋_GBK" w:eastAsia="方正书宋_GBK"/>
                <w:highlight w:val="none"/>
                <w:lang w:val="en-US" w:eastAsia="zh-CN"/>
              </w:rPr>
              <w:t>500</w:t>
            </w:r>
            <w:r>
              <w:rPr>
                <w:rFonts w:ascii="方正书宋_GBK" w:eastAsia="方正书宋_GBK"/>
                <w:highlight w:val="none"/>
              </w:rPr>
              <w:t>.00</w:t>
            </w:r>
          </w:p>
        </w:tc>
        <w:tc>
          <w:tcPr>
            <w:tcW w:w="907" w:type="dxa"/>
            <w:shd w:val="clear" w:color="auto" w:fill="auto"/>
            <w:vAlign w:val="center"/>
          </w:tcPr>
          <w:p>
            <w:pPr>
              <w:spacing w:line="300" w:lineRule="exact"/>
              <w:jc w:val="right"/>
              <w:rPr>
                <w:rFonts w:hint="default" w:ascii="方正书宋_GBK" w:eastAsia="方正书宋_GBK"/>
                <w:b/>
                <w:highlight w:val="none"/>
                <w:lang w:val="en-US" w:eastAsia="zh-CN"/>
              </w:rPr>
            </w:pPr>
            <w:r>
              <w:rPr>
                <w:rFonts w:hint="eastAsia" w:ascii="方正书宋_GBK" w:eastAsia="方正书宋_GBK"/>
                <w:highlight w:val="none"/>
                <w:lang w:val="en-US" w:eastAsia="zh-CN"/>
              </w:rPr>
              <w:t>0.03</w:t>
            </w:r>
          </w:p>
        </w:tc>
        <w:tc>
          <w:tcPr>
            <w:tcW w:w="1134" w:type="dxa"/>
            <w:shd w:val="clear" w:color="auto" w:fill="auto"/>
            <w:vAlign w:val="center"/>
          </w:tcPr>
          <w:p>
            <w:pPr>
              <w:spacing w:line="300" w:lineRule="exact"/>
              <w:jc w:val="right"/>
              <w:rPr>
                <w:rFonts w:ascii="方正书宋_GBK" w:eastAsia="方正书宋_GBK"/>
                <w:b/>
                <w:highlight w:val="none"/>
              </w:rPr>
            </w:pPr>
            <w:r>
              <w:rPr>
                <w:rFonts w:hint="eastAsia" w:ascii="方正书宋_GBK" w:eastAsia="方正书宋_GBK"/>
                <w:highlight w:val="none"/>
                <w:lang w:val="en-US" w:eastAsia="zh-CN"/>
              </w:rPr>
              <w:t>1</w:t>
            </w:r>
            <w:r>
              <w:rPr>
                <w:rFonts w:ascii="方正书宋_GBK" w:eastAsia="方正书宋_GBK"/>
                <w:highlight w:val="none"/>
              </w:rPr>
              <w:t>5.00</w:t>
            </w:r>
          </w:p>
        </w:tc>
        <w:tc>
          <w:tcPr>
            <w:tcW w:w="1134" w:type="dxa"/>
            <w:shd w:val="clear" w:color="auto" w:fill="auto"/>
            <w:vAlign w:val="center"/>
          </w:tcPr>
          <w:p>
            <w:pPr>
              <w:spacing w:line="300" w:lineRule="exact"/>
              <w:jc w:val="right"/>
              <w:rPr>
                <w:rFonts w:ascii="方正书宋_GBK" w:eastAsia="方正书宋_GBK"/>
                <w:b/>
                <w:highlight w:val="none"/>
              </w:rPr>
            </w:pPr>
            <w:r>
              <w:rPr>
                <w:rFonts w:hint="eastAsia" w:ascii="方正书宋_GBK" w:eastAsia="方正书宋_GBK"/>
                <w:highlight w:val="none"/>
                <w:lang w:val="en-US" w:eastAsia="zh-CN"/>
              </w:rPr>
              <w:t>1</w:t>
            </w:r>
            <w:r>
              <w:rPr>
                <w:rFonts w:ascii="方正书宋_GBK" w:eastAsia="方正书宋_GBK"/>
                <w:highlight w:val="none"/>
              </w:rPr>
              <w:t>5.00</w:t>
            </w: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c>
          <w:tcPr>
            <w:tcW w:w="1134" w:type="dxa"/>
            <w:shd w:val="clear" w:color="auto" w:fill="auto"/>
            <w:vAlign w:val="center"/>
          </w:tcPr>
          <w:p>
            <w:pPr>
              <w:spacing w:line="300" w:lineRule="exact"/>
              <w:jc w:val="right"/>
              <w:rPr>
                <w:rFonts w:ascii="方正书宋_GBK" w:eastAsia="方正书宋_GBK"/>
                <w:b/>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hint="eastAsia" w:ascii="方正书宋_GBK" w:eastAsia="方正书宋_GBK"/>
                <w:highlight w:val="none"/>
                <w:lang w:eastAsia="zh-CN"/>
              </w:rPr>
            </w:pPr>
            <w:r>
              <w:rPr>
                <w:rFonts w:hint="eastAsia" w:ascii="方正书宋_GBK" w:eastAsia="方正书宋_GBK"/>
                <w:highlight w:val="none"/>
                <w:lang w:eastAsia="zh-CN"/>
              </w:rPr>
              <w:t>劳务费</w:t>
            </w:r>
          </w:p>
        </w:tc>
        <w:tc>
          <w:tcPr>
            <w:tcW w:w="1134" w:type="dxa"/>
            <w:shd w:val="clear" w:color="auto" w:fill="auto"/>
            <w:vAlign w:val="center"/>
          </w:tcPr>
          <w:p>
            <w:pPr>
              <w:spacing w:line="300" w:lineRule="exact"/>
              <w:jc w:val="right"/>
              <w:rPr>
                <w:rFonts w:hint="default" w:ascii="方正书宋_GBK" w:eastAsia="方正书宋_GBK"/>
                <w:highlight w:val="none"/>
                <w:lang w:val="en-US" w:eastAsia="zh-CN"/>
              </w:rPr>
            </w:pPr>
            <w:r>
              <w:rPr>
                <w:rFonts w:hint="eastAsia" w:ascii="方正书宋_GBK" w:eastAsia="方正书宋_GBK"/>
                <w:highlight w:val="none"/>
                <w:lang w:val="en-US" w:eastAsia="zh-CN"/>
              </w:rPr>
              <w:t>95</w:t>
            </w:r>
          </w:p>
        </w:tc>
        <w:tc>
          <w:tcPr>
            <w:tcW w:w="1417" w:type="dxa"/>
            <w:shd w:val="clear" w:color="auto" w:fill="auto"/>
            <w:vAlign w:val="center"/>
          </w:tcPr>
          <w:p>
            <w:pPr>
              <w:spacing w:line="300" w:lineRule="exact"/>
              <w:jc w:val="left"/>
              <w:rPr>
                <w:rFonts w:hint="eastAsia" w:ascii="方正书宋_GBK" w:eastAsia="方正书宋_GBK"/>
                <w:highlight w:val="none"/>
                <w:lang w:eastAsia="zh-CN"/>
              </w:rPr>
            </w:pPr>
            <w:r>
              <w:rPr>
                <w:rFonts w:hint="eastAsia" w:ascii="方正书宋_GBK" w:eastAsia="方正书宋_GBK"/>
                <w:highlight w:val="none"/>
                <w:lang w:eastAsia="zh-CN"/>
              </w:rPr>
              <w:t>服务</w:t>
            </w:r>
          </w:p>
        </w:tc>
        <w:tc>
          <w:tcPr>
            <w:tcW w:w="1294" w:type="dxa"/>
            <w:shd w:val="clear" w:color="auto" w:fill="auto"/>
            <w:vAlign w:val="center"/>
          </w:tcPr>
          <w:p>
            <w:pPr>
              <w:spacing w:line="300" w:lineRule="exact"/>
              <w:jc w:val="left"/>
              <w:rPr>
                <w:rFonts w:ascii="方正书宋_GBK" w:eastAsia="方正书宋_GBK"/>
                <w:highlight w:val="none"/>
              </w:rPr>
            </w:pPr>
            <w:r>
              <w:rPr>
                <w:rFonts w:ascii="方正书宋_GBK" w:eastAsia="方正书宋_GBK"/>
                <w:highlight w:val="none"/>
              </w:rPr>
              <w:t>C</w:t>
            </w:r>
          </w:p>
        </w:tc>
        <w:tc>
          <w:tcPr>
            <w:tcW w:w="709" w:type="dxa"/>
            <w:shd w:val="clear" w:color="auto" w:fill="auto"/>
            <w:vAlign w:val="center"/>
          </w:tcPr>
          <w:p>
            <w:pPr>
              <w:spacing w:line="300" w:lineRule="exact"/>
              <w:jc w:val="center"/>
              <w:rPr>
                <w:rFonts w:hint="eastAsia" w:ascii="方正书宋_GBK" w:eastAsia="方正书宋_GBK"/>
                <w:highlight w:val="none"/>
                <w:lang w:eastAsia="zh-CN"/>
              </w:rPr>
            </w:pPr>
            <w:r>
              <w:rPr>
                <w:rFonts w:hint="eastAsia" w:ascii="方正书宋_GBK" w:eastAsia="方正书宋_GBK"/>
                <w:highlight w:val="none"/>
                <w:lang w:eastAsia="zh-CN"/>
              </w:rPr>
              <w:t>人</w:t>
            </w:r>
          </w:p>
        </w:tc>
        <w:tc>
          <w:tcPr>
            <w:tcW w:w="907" w:type="dxa"/>
            <w:shd w:val="clear" w:color="auto" w:fill="auto"/>
            <w:vAlign w:val="center"/>
          </w:tcPr>
          <w:p>
            <w:pPr>
              <w:spacing w:line="300" w:lineRule="exact"/>
              <w:jc w:val="right"/>
              <w:rPr>
                <w:rFonts w:ascii="方正书宋_GBK" w:eastAsia="方正书宋_GBK"/>
                <w:highlight w:val="none"/>
              </w:rPr>
            </w:pPr>
            <w:r>
              <w:rPr>
                <w:rFonts w:hint="eastAsia" w:ascii="方正书宋_GBK" w:eastAsia="方正书宋_GBK"/>
                <w:highlight w:val="none"/>
                <w:lang w:val="en-US" w:eastAsia="zh-CN"/>
              </w:rPr>
              <w:t>2</w:t>
            </w:r>
            <w:r>
              <w:rPr>
                <w:rFonts w:ascii="方正书宋_GBK" w:eastAsia="方正书宋_GBK"/>
                <w:highlight w:val="none"/>
              </w:rPr>
              <w:t>1.00</w:t>
            </w:r>
          </w:p>
        </w:tc>
        <w:tc>
          <w:tcPr>
            <w:tcW w:w="907" w:type="dxa"/>
            <w:shd w:val="clear" w:color="auto" w:fill="auto"/>
            <w:vAlign w:val="center"/>
          </w:tcPr>
          <w:p>
            <w:pPr>
              <w:spacing w:line="300" w:lineRule="exact"/>
              <w:jc w:val="right"/>
              <w:rPr>
                <w:rFonts w:hint="default" w:ascii="方正书宋_GBK" w:eastAsia="方正书宋_GBK"/>
                <w:highlight w:val="none"/>
                <w:lang w:val="en-US" w:eastAsia="zh-CN"/>
              </w:rPr>
            </w:pPr>
            <w:r>
              <w:rPr>
                <w:rFonts w:hint="eastAsia" w:ascii="方正书宋_GBK" w:eastAsia="方正书宋_GBK"/>
                <w:highlight w:val="none"/>
                <w:lang w:val="en-US" w:eastAsia="zh-CN"/>
              </w:rPr>
              <w:t>3.40</w:t>
            </w:r>
          </w:p>
        </w:tc>
        <w:tc>
          <w:tcPr>
            <w:tcW w:w="1134" w:type="dxa"/>
            <w:shd w:val="clear" w:color="auto" w:fill="auto"/>
            <w:vAlign w:val="center"/>
          </w:tcPr>
          <w:p>
            <w:pPr>
              <w:spacing w:line="300" w:lineRule="exact"/>
              <w:jc w:val="right"/>
              <w:rPr>
                <w:rFonts w:hint="default" w:ascii="方正书宋_GBK" w:eastAsia="方正书宋_GBK"/>
                <w:highlight w:val="none"/>
                <w:lang w:val="en-US" w:eastAsia="zh-CN"/>
              </w:rPr>
            </w:pPr>
            <w:r>
              <w:rPr>
                <w:rFonts w:hint="eastAsia" w:ascii="方正书宋_GBK" w:eastAsia="方正书宋_GBK"/>
                <w:highlight w:val="none"/>
                <w:lang w:val="en-US" w:eastAsia="zh-CN"/>
              </w:rPr>
              <w:t>71.4</w:t>
            </w:r>
          </w:p>
        </w:tc>
        <w:tc>
          <w:tcPr>
            <w:tcW w:w="1134" w:type="dxa"/>
            <w:shd w:val="clear" w:color="auto" w:fill="auto"/>
            <w:vAlign w:val="center"/>
          </w:tcPr>
          <w:p>
            <w:pPr>
              <w:spacing w:line="300" w:lineRule="exact"/>
              <w:jc w:val="right"/>
              <w:rPr>
                <w:rFonts w:hint="default" w:ascii="方正书宋_GBK" w:eastAsia="方正书宋_GBK"/>
                <w:highlight w:val="none"/>
                <w:lang w:val="en-US" w:eastAsia="zh-CN"/>
              </w:rPr>
            </w:pPr>
            <w:r>
              <w:rPr>
                <w:rFonts w:hint="eastAsia" w:ascii="方正书宋_GBK" w:eastAsia="方正书宋_GBK"/>
                <w:highlight w:val="none"/>
                <w:lang w:val="en-US" w:eastAsia="zh-CN"/>
              </w:rPr>
              <w:t>71.4</w:t>
            </w:r>
          </w:p>
        </w:tc>
        <w:tc>
          <w:tcPr>
            <w:tcW w:w="1134" w:type="dxa"/>
            <w:shd w:val="clear" w:color="auto" w:fill="auto"/>
            <w:vAlign w:val="center"/>
          </w:tcPr>
          <w:p>
            <w:pPr>
              <w:spacing w:line="300" w:lineRule="exact"/>
              <w:jc w:val="right"/>
              <w:rPr>
                <w:rFonts w:ascii="方正书宋_GBK" w:eastAsia="方正书宋_GBK"/>
                <w:highlight w:val="none"/>
              </w:rPr>
            </w:pPr>
          </w:p>
        </w:tc>
        <w:tc>
          <w:tcPr>
            <w:tcW w:w="1134" w:type="dxa"/>
            <w:shd w:val="clear" w:color="auto" w:fill="auto"/>
            <w:vAlign w:val="center"/>
          </w:tcPr>
          <w:p>
            <w:pPr>
              <w:spacing w:line="300" w:lineRule="exact"/>
              <w:jc w:val="right"/>
              <w:rPr>
                <w:rFonts w:ascii="方正书宋_GBK" w:eastAsia="方正书宋_GBK"/>
                <w:highlight w:val="none"/>
              </w:rPr>
            </w:pPr>
          </w:p>
        </w:tc>
        <w:tc>
          <w:tcPr>
            <w:tcW w:w="1134" w:type="dxa"/>
            <w:shd w:val="clear" w:color="auto" w:fill="auto"/>
            <w:vAlign w:val="center"/>
          </w:tcPr>
          <w:p>
            <w:pPr>
              <w:spacing w:line="300" w:lineRule="exact"/>
              <w:jc w:val="right"/>
              <w:rPr>
                <w:rFonts w:ascii="方正书宋_GBK" w:eastAsia="方正书宋_GBK"/>
                <w:highlight w:val="none"/>
              </w:rPr>
            </w:pPr>
          </w:p>
        </w:tc>
        <w:tc>
          <w:tcPr>
            <w:tcW w:w="1134" w:type="dxa"/>
            <w:shd w:val="clear" w:color="auto" w:fill="auto"/>
            <w:vAlign w:val="center"/>
          </w:tcPr>
          <w:p>
            <w:pPr>
              <w:spacing w:line="300" w:lineRule="exact"/>
              <w:jc w:val="right"/>
              <w:rPr>
                <w:rFonts w:ascii="方正书宋_GBK" w:eastAsia="方正书宋_GBK"/>
                <w:highlight w:val="none"/>
              </w:rPr>
            </w:pPr>
          </w:p>
        </w:tc>
      </w:tr>
    </w:tbl>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七、国有资产信息情况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我院上年末固定资产</w:t>
      </w:r>
      <w:r>
        <w:rPr>
          <w:rFonts w:hint="eastAsia" w:ascii="仿宋_GB2312" w:hAnsi="Times New Roman" w:eastAsia="仿宋_GB2312"/>
          <w:kern w:val="0"/>
          <w:sz w:val="32"/>
          <w:szCs w:val="32"/>
          <w:lang w:eastAsia="zh-CN"/>
        </w:rPr>
        <w:t>金额为</w:t>
      </w:r>
      <w:r>
        <w:rPr>
          <w:rFonts w:hint="eastAsia" w:ascii="仿宋_GB2312" w:hAnsi="Times New Roman" w:eastAsia="仿宋_GB2312"/>
          <w:kern w:val="0"/>
          <w:sz w:val="32"/>
          <w:szCs w:val="32"/>
        </w:rPr>
        <w:t>2803.01万元</w:t>
      </w:r>
      <w:r>
        <w:rPr>
          <w:rFonts w:hint="eastAsia" w:ascii="仿宋_GB2312" w:hAnsi="Times New Roman" w:eastAsia="仿宋_GB2312"/>
          <w:kern w:val="0"/>
          <w:sz w:val="32"/>
          <w:szCs w:val="32"/>
          <w:lang w:eastAsia="zh-CN"/>
        </w:rPr>
        <w:t>（详见下表）</w:t>
      </w:r>
      <w:r>
        <w:rPr>
          <w:rFonts w:hint="eastAsia" w:ascii="仿宋_GB2312" w:hAnsi="Times New Roman" w:eastAsia="仿宋_GB2312"/>
          <w:kern w:val="0"/>
          <w:sz w:val="32"/>
          <w:szCs w:val="32"/>
        </w:rPr>
        <w:t>。本年度无购置固定资产计划。</w:t>
      </w:r>
    </w:p>
    <w:p>
      <w:pPr>
        <w:rPr>
          <w:rFonts w:ascii="宋体" w:hAnsi="宋体"/>
          <w:b/>
          <w:sz w:val="32"/>
          <w:szCs w:val="32"/>
        </w:rPr>
      </w:pPr>
    </w:p>
    <w:p>
      <w:pPr>
        <w:jc w:val="center"/>
        <w:rPr>
          <w:rFonts w:ascii="宋体" w:hAnsi="宋体"/>
          <w:b/>
          <w:sz w:val="32"/>
          <w:szCs w:val="32"/>
        </w:rPr>
      </w:pPr>
      <w:r>
        <w:rPr>
          <w:rFonts w:hint="eastAsia" w:ascii="宋体" w:hAnsi="宋体"/>
          <w:b/>
          <w:sz w:val="32"/>
          <w:szCs w:val="32"/>
        </w:rPr>
        <w:t>固定资产占用情况表</w:t>
      </w:r>
    </w:p>
    <w:p>
      <w:pPr>
        <w:ind w:firstLine="1080" w:firstLineChars="600"/>
        <w:jc w:val="left"/>
        <w:rPr>
          <w:rFonts w:ascii="宋体" w:hAnsi="宋体"/>
          <w:sz w:val="18"/>
          <w:szCs w:val="18"/>
        </w:rPr>
      </w:pPr>
      <w:r>
        <w:rPr>
          <w:rFonts w:hint="eastAsia" w:ascii="宋体" w:hAnsi="宋体"/>
          <w:sz w:val="18"/>
          <w:szCs w:val="18"/>
          <w:lang w:val="en-US" w:eastAsia="zh-CN"/>
        </w:rPr>
        <w:t>161定州市人民法院</w:t>
      </w:r>
      <w:r>
        <w:rPr>
          <w:rFonts w:hint="eastAsia"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 xml:space="preserve">                                       截止时间：2018年12月31日</w:t>
      </w:r>
    </w:p>
    <w:p>
      <w:pPr>
        <w:ind w:firstLine="360" w:firstLineChars="200"/>
        <w:jc w:val="center"/>
        <w:rPr>
          <w:rFonts w:ascii="宋体" w:hAnsi="宋体"/>
          <w:sz w:val="18"/>
          <w:szCs w:val="18"/>
        </w:rPr>
      </w:pPr>
    </w:p>
    <w:tbl>
      <w:tblPr>
        <w:tblStyle w:val="5"/>
        <w:tblW w:w="11820" w:type="dxa"/>
        <w:tblInd w:w="1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0"/>
        <w:gridCol w:w="1448"/>
        <w:gridCol w:w="3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520" w:type="dxa"/>
          </w:tcPr>
          <w:p>
            <w:pPr>
              <w:jc w:val="center"/>
              <w:rPr>
                <w:rFonts w:ascii="宋体" w:hAnsi="宋体" w:eastAsiaTheme="minorEastAsia" w:cstheme="minorBidi"/>
                <w:sz w:val="18"/>
                <w:szCs w:val="18"/>
              </w:rPr>
            </w:pPr>
            <w:r>
              <w:rPr>
                <w:rFonts w:hint="eastAsia" w:ascii="宋体" w:hAnsi="宋体" w:cs="Arial" w:eastAsiaTheme="minorEastAsia"/>
                <w:kern w:val="0"/>
                <w:sz w:val="22"/>
              </w:rPr>
              <w:t>项目</w:t>
            </w:r>
          </w:p>
        </w:tc>
        <w:tc>
          <w:tcPr>
            <w:tcW w:w="1448" w:type="dxa"/>
          </w:tcPr>
          <w:p>
            <w:pPr>
              <w:jc w:val="center"/>
              <w:rPr>
                <w:rFonts w:ascii="宋体" w:hAnsi="宋体" w:eastAsiaTheme="minorEastAsia" w:cstheme="minorBidi"/>
                <w:sz w:val="18"/>
                <w:szCs w:val="18"/>
              </w:rPr>
            </w:pPr>
            <w:r>
              <w:rPr>
                <w:rFonts w:hint="eastAsia" w:ascii="宋体" w:hAnsi="宋体" w:cs="Arial" w:eastAsiaTheme="minorEastAsia"/>
                <w:kern w:val="0"/>
                <w:sz w:val="22"/>
              </w:rPr>
              <w:t>数量</w:t>
            </w:r>
          </w:p>
        </w:tc>
        <w:tc>
          <w:tcPr>
            <w:tcW w:w="3852" w:type="dxa"/>
          </w:tcPr>
          <w:p>
            <w:pPr>
              <w:jc w:val="center"/>
              <w:rPr>
                <w:rFonts w:ascii="宋体" w:hAnsi="宋体" w:eastAsiaTheme="minorEastAsia" w:cstheme="minorBidi"/>
                <w:sz w:val="18"/>
                <w:szCs w:val="18"/>
              </w:rPr>
            </w:pPr>
            <w:r>
              <w:rPr>
                <w:rFonts w:hint="eastAsia" w:ascii="宋体" w:hAnsi="宋体" w:cs="Arial" w:eastAsiaTheme="minorEastAsia"/>
                <w:kern w:val="0"/>
                <w:sz w:val="22"/>
              </w:rPr>
              <w:t>价值(</w:t>
            </w:r>
            <w:r>
              <w:rPr>
                <w:rFonts w:hint="eastAsia" w:ascii="宋体" w:hAnsi="宋体" w:cs="Arial" w:eastAsiaTheme="minorEastAsia"/>
                <w:kern w:val="0"/>
                <w:sz w:val="22"/>
                <w:lang w:eastAsia="zh-CN"/>
              </w:rPr>
              <w:t>金额</w:t>
            </w:r>
            <w:r>
              <w:rPr>
                <w:rFonts w:hint="eastAsia" w:ascii="宋体" w:hAnsi="宋体" w:cs="Arial" w:eastAsiaTheme="minorEastAsia"/>
                <w:kern w:val="0"/>
                <w:sz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jc w:val="center"/>
              <w:rPr>
                <w:rFonts w:ascii="宋体" w:hAnsi="宋体" w:eastAsiaTheme="minorEastAsia" w:cstheme="minorBidi"/>
                <w:sz w:val="18"/>
                <w:szCs w:val="18"/>
              </w:rPr>
            </w:pPr>
            <w:r>
              <w:rPr>
                <w:rFonts w:hint="eastAsia" w:ascii="宋体" w:hAnsi="宋体" w:cs="Arial" w:eastAsiaTheme="minorEastAsia"/>
                <w:kern w:val="0"/>
                <w:sz w:val="22"/>
              </w:rPr>
              <w:t>资产总额</w:t>
            </w:r>
          </w:p>
        </w:tc>
        <w:tc>
          <w:tcPr>
            <w:tcW w:w="1448" w:type="dxa"/>
          </w:tcPr>
          <w:p>
            <w:pPr>
              <w:jc w:val="center"/>
              <w:rPr>
                <w:rFonts w:ascii="宋体" w:hAnsi="宋体" w:eastAsiaTheme="minorEastAsia" w:cstheme="minorBidi"/>
                <w:sz w:val="18"/>
                <w:szCs w:val="18"/>
              </w:rPr>
            </w:pPr>
          </w:p>
        </w:tc>
        <w:tc>
          <w:tcPr>
            <w:tcW w:w="3852"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2803.01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ind w:firstLine="220" w:firstLineChars="100"/>
              <w:jc w:val="left"/>
              <w:rPr>
                <w:rFonts w:ascii="宋体" w:hAnsi="宋体" w:eastAsiaTheme="minorEastAsia" w:cstheme="minorBidi"/>
                <w:sz w:val="18"/>
                <w:szCs w:val="18"/>
              </w:rPr>
            </w:pPr>
            <w:r>
              <w:rPr>
                <w:rFonts w:hint="eastAsia" w:ascii="宋体" w:hAnsi="宋体" w:cs="Arial" w:eastAsiaTheme="minorEastAsia"/>
                <w:kern w:val="0"/>
                <w:sz w:val="22"/>
              </w:rPr>
              <w:t xml:space="preserve"> 1、房屋（平方米）</w:t>
            </w:r>
          </w:p>
        </w:tc>
        <w:tc>
          <w:tcPr>
            <w:tcW w:w="1448" w:type="dxa"/>
          </w:tcPr>
          <w:p>
            <w:pPr>
              <w:jc w:val="center"/>
              <w:rPr>
                <w:rFonts w:ascii="宋体" w:hAnsi="宋体" w:eastAsiaTheme="minorEastAsia" w:cstheme="minorBidi"/>
                <w:sz w:val="18"/>
                <w:szCs w:val="18"/>
              </w:rPr>
            </w:pPr>
          </w:p>
        </w:tc>
        <w:tc>
          <w:tcPr>
            <w:tcW w:w="3852"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1126.46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ind w:firstLine="880" w:firstLineChars="400"/>
              <w:jc w:val="left"/>
              <w:rPr>
                <w:rFonts w:ascii="宋体" w:hAnsi="宋体" w:eastAsiaTheme="minorEastAsia" w:cstheme="minorBidi"/>
                <w:sz w:val="18"/>
                <w:szCs w:val="18"/>
              </w:rPr>
            </w:pPr>
            <w:r>
              <w:rPr>
                <w:rFonts w:hint="eastAsia" w:ascii="宋体" w:hAnsi="宋体" w:cs="Arial" w:eastAsiaTheme="minorEastAsia"/>
                <w:kern w:val="0"/>
                <w:sz w:val="22"/>
              </w:rPr>
              <w:t>其中：办公用房（平方米)</w:t>
            </w:r>
          </w:p>
        </w:tc>
        <w:tc>
          <w:tcPr>
            <w:tcW w:w="1448"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9152</w:t>
            </w:r>
          </w:p>
        </w:tc>
        <w:tc>
          <w:tcPr>
            <w:tcW w:w="3852"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1126.46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ind w:firstLine="330" w:firstLineChars="150"/>
              <w:jc w:val="left"/>
              <w:rPr>
                <w:rFonts w:ascii="宋体" w:hAnsi="宋体" w:eastAsiaTheme="minorEastAsia" w:cstheme="minorBidi"/>
                <w:sz w:val="18"/>
                <w:szCs w:val="18"/>
              </w:rPr>
            </w:pPr>
            <w:r>
              <w:rPr>
                <w:rFonts w:hint="eastAsia" w:ascii="宋体" w:hAnsi="宋体" w:cs="Arial" w:eastAsiaTheme="minorEastAsia"/>
                <w:kern w:val="0"/>
                <w:sz w:val="22"/>
              </w:rPr>
              <w:t>2、车辆（台、辆）</w:t>
            </w:r>
          </w:p>
        </w:tc>
        <w:tc>
          <w:tcPr>
            <w:tcW w:w="1448"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21</w:t>
            </w:r>
          </w:p>
        </w:tc>
        <w:tc>
          <w:tcPr>
            <w:tcW w:w="3852"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531.36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ind w:firstLine="330" w:firstLineChars="150"/>
              <w:jc w:val="left"/>
              <w:rPr>
                <w:rFonts w:ascii="宋体" w:hAnsi="宋体" w:eastAsiaTheme="minorEastAsia" w:cstheme="minorBidi"/>
                <w:sz w:val="18"/>
                <w:szCs w:val="18"/>
              </w:rPr>
            </w:pPr>
            <w:r>
              <w:rPr>
                <w:rFonts w:hint="eastAsia" w:ascii="宋体" w:hAnsi="宋体" w:cs="Arial" w:eastAsiaTheme="minorEastAsia"/>
                <w:kern w:val="0"/>
                <w:sz w:val="22"/>
              </w:rPr>
              <w:t>3、单价在20万元以上的设备</w:t>
            </w:r>
          </w:p>
        </w:tc>
        <w:tc>
          <w:tcPr>
            <w:tcW w:w="1448" w:type="dxa"/>
          </w:tcPr>
          <w:p>
            <w:pPr>
              <w:jc w:val="center"/>
              <w:rPr>
                <w:rFonts w:ascii="宋体" w:hAnsi="宋体" w:eastAsiaTheme="minorEastAsia" w:cstheme="minorBidi"/>
                <w:sz w:val="18"/>
                <w:szCs w:val="18"/>
              </w:rPr>
            </w:pPr>
          </w:p>
        </w:tc>
        <w:tc>
          <w:tcPr>
            <w:tcW w:w="3852" w:type="dxa"/>
          </w:tcPr>
          <w:p>
            <w:pPr>
              <w:jc w:val="center"/>
              <w:rPr>
                <w:rFonts w:ascii="宋体" w:hAnsi="宋体" w:eastAsiaTheme="minorEastAsia" w:cstheme="minorBidi"/>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0" w:type="dxa"/>
          </w:tcPr>
          <w:p>
            <w:pPr>
              <w:ind w:firstLine="330" w:firstLineChars="150"/>
              <w:jc w:val="left"/>
              <w:rPr>
                <w:rFonts w:ascii="宋体" w:hAnsi="宋体" w:eastAsiaTheme="minorEastAsia" w:cstheme="minorBidi"/>
                <w:sz w:val="18"/>
                <w:szCs w:val="18"/>
              </w:rPr>
            </w:pPr>
            <w:r>
              <w:rPr>
                <w:rFonts w:hint="eastAsia" w:ascii="宋体" w:hAnsi="宋体" w:cs="Arial" w:eastAsiaTheme="minorEastAsia"/>
                <w:kern w:val="0"/>
                <w:sz w:val="22"/>
              </w:rPr>
              <w:t>4、其他固定资产</w:t>
            </w:r>
          </w:p>
        </w:tc>
        <w:tc>
          <w:tcPr>
            <w:tcW w:w="1448" w:type="dxa"/>
          </w:tcPr>
          <w:p>
            <w:pPr>
              <w:jc w:val="center"/>
              <w:rPr>
                <w:rFonts w:ascii="宋体" w:hAnsi="宋体" w:eastAsiaTheme="minorEastAsia" w:cstheme="minorBidi"/>
                <w:sz w:val="18"/>
                <w:szCs w:val="18"/>
              </w:rPr>
            </w:pPr>
          </w:p>
        </w:tc>
        <w:tc>
          <w:tcPr>
            <w:tcW w:w="3852" w:type="dxa"/>
          </w:tcPr>
          <w:p>
            <w:pPr>
              <w:jc w:val="center"/>
              <w:rPr>
                <w:rFonts w:ascii="宋体" w:hAnsi="宋体" w:eastAsiaTheme="minorEastAsia" w:cstheme="minorBidi"/>
                <w:sz w:val="18"/>
                <w:szCs w:val="18"/>
              </w:rPr>
            </w:pPr>
            <w:r>
              <w:rPr>
                <w:rFonts w:hint="eastAsia" w:ascii="宋体" w:hAnsi="宋体" w:eastAsiaTheme="minorEastAsia" w:cstheme="minorBidi"/>
                <w:sz w:val="18"/>
                <w:szCs w:val="18"/>
              </w:rPr>
              <w:t>1145.18</w:t>
            </w:r>
          </w:p>
        </w:tc>
      </w:tr>
    </w:tbl>
    <w:p>
      <w:pPr>
        <w:widowControl/>
        <w:shd w:val="clear" w:color="auto" w:fill="FFFFFF"/>
        <w:spacing w:line="580" w:lineRule="exact"/>
        <w:ind w:firstLine="640" w:firstLineChars="200"/>
        <w:jc w:val="left"/>
        <w:rPr>
          <w:rFonts w:ascii="仿宋_GB2312" w:hAnsi="Times New Roman" w:eastAsia="仿宋_GB2312"/>
          <w:kern w:val="0"/>
          <w:sz w:val="32"/>
          <w:szCs w:val="32"/>
        </w:rPr>
      </w:pPr>
    </w:p>
    <w:p>
      <w:pPr>
        <w:widowControl/>
        <w:numPr>
          <w:ilvl w:val="0"/>
          <w:numId w:val="4"/>
        </w:numPr>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专业名词解释</w:t>
      </w:r>
    </w:p>
    <w:p>
      <w:pPr>
        <w:widowControl/>
        <w:shd w:val="clear" w:color="auto" w:fill="FFFFFF"/>
        <w:spacing w:line="58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“三公经费”指因公出国（境）费、公务用车购置及运行费和公务接待费。</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九、其他需说明的事项</w:t>
      </w:r>
    </w:p>
    <w:p>
      <w:pPr>
        <w:widowControl/>
        <w:spacing w:line="580" w:lineRule="atLeast"/>
        <w:ind w:firstLine="640"/>
        <w:jc w:val="left"/>
        <w:rPr>
          <w:rFonts w:ascii="仿宋" w:hAnsi="仿宋" w:eastAsia="仿宋" w:cs="仿宋"/>
          <w:sz w:val="32"/>
          <w:szCs w:val="32"/>
        </w:rPr>
      </w:pPr>
      <w:r>
        <w:rPr>
          <w:rFonts w:hint="eastAsia" w:ascii="仿宋" w:hAnsi="仿宋" w:eastAsia="仿宋" w:cs="仿宋"/>
          <w:sz w:val="32"/>
          <w:szCs w:val="32"/>
        </w:rPr>
        <w:t>单位没有政府性基金预算和国有资本经营预算。</w:t>
      </w:r>
    </w:p>
    <w:sectPr>
      <w:pgSz w:w="16838" w:h="11906" w:orient="landscape"/>
      <w:pgMar w:top="1134" w:right="1474"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宋体"/>
    <w:panose1 w:val="00000000000000000000"/>
    <w:charset w:val="86"/>
    <w:family w:val="roman"/>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671738"/>
    <w:multiLevelType w:val="singleLevel"/>
    <w:tmpl w:val="95671738"/>
    <w:lvl w:ilvl="0" w:tentative="0">
      <w:start w:val="3"/>
      <w:numFmt w:val="decimal"/>
      <w:suff w:val="nothing"/>
      <w:lvlText w:val="%1、"/>
      <w:lvlJc w:val="left"/>
    </w:lvl>
  </w:abstractNum>
  <w:abstractNum w:abstractNumId="1">
    <w:nsid w:val="98578355"/>
    <w:multiLevelType w:val="singleLevel"/>
    <w:tmpl w:val="98578355"/>
    <w:lvl w:ilvl="0" w:tentative="0">
      <w:start w:val="8"/>
      <w:numFmt w:val="chineseCounting"/>
      <w:suff w:val="nothing"/>
      <w:lvlText w:val="%1、"/>
      <w:lvlJc w:val="left"/>
      <w:rPr>
        <w:rFonts w:hint="eastAsia"/>
      </w:rPr>
    </w:lvl>
  </w:abstractNum>
  <w:abstractNum w:abstractNumId="2">
    <w:nsid w:val="9A9355BA"/>
    <w:multiLevelType w:val="singleLevel"/>
    <w:tmpl w:val="9A9355BA"/>
    <w:lvl w:ilvl="0" w:tentative="0">
      <w:start w:val="6"/>
      <w:numFmt w:val="chineseCounting"/>
      <w:suff w:val="nothing"/>
      <w:lvlText w:val="%1、"/>
      <w:lvlJc w:val="left"/>
      <w:rPr>
        <w:rFonts w:hint="eastAsia"/>
      </w:rPr>
    </w:lvl>
  </w:abstractNum>
  <w:abstractNum w:abstractNumId="3">
    <w:nsid w:val="4C000FA2"/>
    <w:multiLevelType w:val="singleLevel"/>
    <w:tmpl w:val="4C000FA2"/>
    <w:lvl w:ilvl="0" w:tentative="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667C0"/>
    <w:rsid w:val="00086C7E"/>
    <w:rsid w:val="0009406B"/>
    <w:rsid w:val="00161A1D"/>
    <w:rsid w:val="0028377D"/>
    <w:rsid w:val="002A7B6A"/>
    <w:rsid w:val="00364428"/>
    <w:rsid w:val="00462846"/>
    <w:rsid w:val="004E4292"/>
    <w:rsid w:val="00536758"/>
    <w:rsid w:val="005A014E"/>
    <w:rsid w:val="005D3ADE"/>
    <w:rsid w:val="006667C0"/>
    <w:rsid w:val="006E27D7"/>
    <w:rsid w:val="00747BA7"/>
    <w:rsid w:val="007507A6"/>
    <w:rsid w:val="00875CC7"/>
    <w:rsid w:val="008B1E05"/>
    <w:rsid w:val="00B02E85"/>
    <w:rsid w:val="00C37481"/>
    <w:rsid w:val="00C70B56"/>
    <w:rsid w:val="00D8145C"/>
    <w:rsid w:val="00E50F76"/>
    <w:rsid w:val="00EA60A4"/>
    <w:rsid w:val="00EE3631"/>
    <w:rsid w:val="098F62FD"/>
    <w:rsid w:val="2CF81AB4"/>
    <w:rsid w:val="407D5AB8"/>
    <w:rsid w:val="426B0D72"/>
    <w:rsid w:val="43AE422D"/>
    <w:rsid w:val="563B7D32"/>
    <w:rsid w:val="5FD14B52"/>
    <w:rsid w:val="6B1B4DE9"/>
    <w:rsid w:val="6D7F671B"/>
    <w:rsid w:val="7D466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1315</Words>
  <Characters>7497</Characters>
  <Lines>62</Lines>
  <Paragraphs>17</Paragraphs>
  <TotalTime>11</TotalTime>
  <ScaleCrop>false</ScaleCrop>
  <LinksUpToDate>false</LinksUpToDate>
  <CharactersWithSpaces>8795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Backlight°</cp:lastModifiedBy>
  <dcterms:modified xsi:type="dcterms:W3CDTF">2021-05-17T02:57:39Z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66A6B2FA434044FFA14CDF3BADDA7421</vt:lpwstr>
  </property>
</Properties>
</file>